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黑体"/>
          <w:b/>
          <w:sz w:val="52"/>
        </w:rPr>
      </w:pPr>
    </w:p>
    <w:p>
      <w:pPr>
        <w:adjustRightInd w:val="0"/>
        <w:snapToGrid w:val="0"/>
        <w:spacing w:line="360" w:lineRule="auto"/>
        <w:jc w:val="center"/>
        <w:rPr>
          <w:rFonts w:ascii="仿宋" w:hAnsi="仿宋" w:eastAsia="仿宋" w:cs="仿宋"/>
          <w:b/>
          <w:bCs/>
          <w:sz w:val="44"/>
          <w:szCs w:val="44"/>
        </w:rPr>
      </w:pPr>
      <w:r>
        <w:rPr>
          <w:rFonts w:hint="eastAsia" w:ascii="仿宋" w:hAnsi="仿宋" w:eastAsia="仿宋" w:cs="仿宋"/>
          <w:b/>
          <w:bCs/>
          <w:sz w:val="44"/>
          <w:szCs w:val="44"/>
        </w:rPr>
        <w:t>江苏省沿海农业发展有限公司拟收购</w:t>
      </w:r>
    </w:p>
    <w:p>
      <w:pPr>
        <w:adjustRightInd w:val="0"/>
        <w:snapToGrid w:val="0"/>
        <w:spacing w:line="360" w:lineRule="auto"/>
        <w:jc w:val="center"/>
        <w:rPr>
          <w:rFonts w:ascii="仿宋" w:hAnsi="仿宋" w:eastAsia="仿宋" w:cs="仿宋"/>
          <w:b/>
          <w:bCs/>
          <w:sz w:val="44"/>
          <w:szCs w:val="44"/>
        </w:rPr>
      </w:pPr>
      <w:r>
        <w:rPr>
          <w:rFonts w:hint="eastAsia" w:ascii="仿宋" w:hAnsi="仿宋" w:eastAsia="仿宋" w:cs="仿宋"/>
          <w:b/>
          <w:bCs/>
          <w:sz w:val="44"/>
          <w:szCs w:val="44"/>
        </w:rPr>
        <w:t>江苏焦点粮食储运有限公司全部股权项目</w:t>
      </w:r>
    </w:p>
    <w:p>
      <w:pPr>
        <w:spacing w:line="360" w:lineRule="auto"/>
        <w:jc w:val="center"/>
        <w:rPr>
          <w:rFonts w:ascii="仿宋" w:hAnsi="仿宋" w:eastAsia="仿宋" w:cs="仿宋"/>
          <w:b/>
          <w:sz w:val="84"/>
          <w:szCs w:val="84"/>
        </w:rPr>
      </w:pPr>
    </w:p>
    <w:p>
      <w:pPr>
        <w:spacing w:line="360" w:lineRule="auto"/>
        <w:jc w:val="center"/>
        <w:rPr>
          <w:rFonts w:ascii="仿宋" w:hAnsi="仿宋" w:eastAsia="仿宋" w:cs="仿宋"/>
          <w:b/>
          <w:sz w:val="84"/>
          <w:szCs w:val="84"/>
        </w:rPr>
      </w:pPr>
      <w:r>
        <w:rPr>
          <w:rFonts w:hint="eastAsia" w:ascii="仿宋" w:hAnsi="仿宋" w:eastAsia="仿宋" w:cs="仿宋"/>
          <w:b/>
          <w:sz w:val="84"/>
          <w:szCs w:val="84"/>
        </w:rPr>
        <w:t>资产评估说明</w:t>
      </w:r>
    </w:p>
    <w:p>
      <w:pPr>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苏金汇通评报字(2020)第Z-114号</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（共1册，第1册）</w:t>
      </w: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jc w:val="center"/>
        <w:rPr>
          <w:rFonts w:ascii="仿宋" w:hAnsi="仿宋" w:eastAsia="仿宋" w:cs="仿宋"/>
        </w:rPr>
      </w:pPr>
    </w:p>
    <w:p>
      <w:pPr>
        <w:spacing w:line="360" w:lineRule="auto"/>
        <w:rPr>
          <w:rFonts w:ascii="仿宋" w:hAnsi="仿宋" w:eastAsia="仿宋" w:cs="仿宋"/>
        </w:rPr>
      </w:pPr>
    </w:p>
    <w:p>
      <w:pPr>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江苏金汇通房地产资产评估造价咨询有限公司</w:t>
      </w:r>
    </w:p>
    <w:p>
      <w:pPr>
        <w:spacing w:line="360" w:lineRule="auto"/>
        <w:jc w:val="center"/>
        <w:rPr>
          <w:rFonts w:ascii="仿宋" w:hAnsi="仿宋" w:eastAsia="仿宋" w:cs="仿宋"/>
          <w:b/>
          <w:sz w:val="32"/>
        </w:rPr>
      </w:pPr>
      <w:r>
        <w:rPr>
          <w:rFonts w:hint="eastAsia" w:ascii="仿宋" w:hAnsi="仿宋" w:eastAsia="仿宋" w:cs="仿宋"/>
          <w:b/>
          <w:bCs/>
          <w:sz w:val="32"/>
          <w:szCs w:val="32"/>
        </w:rPr>
        <w:t>2</w:t>
      </w:r>
      <w:r>
        <w:rPr>
          <w:rFonts w:ascii="仿宋" w:hAnsi="仿宋" w:eastAsia="仿宋" w:cs="仿宋"/>
          <w:b/>
          <w:bCs/>
          <w:sz w:val="32"/>
          <w:szCs w:val="32"/>
        </w:rPr>
        <w:t>020</w:t>
      </w:r>
      <w:r>
        <w:rPr>
          <w:rFonts w:hint="eastAsia" w:ascii="仿宋" w:hAnsi="仿宋" w:eastAsia="仿宋" w:cs="仿宋"/>
          <w:b/>
          <w:bCs/>
          <w:sz w:val="32"/>
          <w:szCs w:val="32"/>
        </w:rPr>
        <w:t>年07月</w:t>
      </w:r>
      <w:r>
        <w:rPr>
          <w:rFonts w:ascii="仿宋" w:hAnsi="仿宋" w:eastAsia="仿宋" w:cs="仿宋"/>
          <w:b/>
          <w:bCs/>
          <w:sz w:val="32"/>
          <w:szCs w:val="32"/>
        </w:rPr>
        <w:t>24</w:t>
      </w:r>
      <w:r>
        <w:rPr>
          <w:rFonts w:hint="eastAsia" w:ascii="仿宋" w:hAnsi="仿宋" w:eastAsia="仿宋" w:cs="仿宋"/>
          <w:b/>
          <w:bCs/>
          <w:sz w:val="32"/>
          <w:szCs w:val="32"/>
        </w:rPr>
        <w:t>日</w:t>
      </w:r>
    </w:p>
    <w:p>
      <w:pPr>
        <w:pageBreakBefore/>
        <w:spacing w:line="360" w:lineRule="auto"/>
        <w:jc w:val="center"/>
        <w:rPr>
          <w:rFonts w:ascii="仿宋" w:hAnsi="仿宋" w:eastAsia="仿宋" w:cs="仿宋"/>
          <w:b/>
          <w:spacing w:val="20"/>
        </w:rPr>
        <w:sectPr>
          <w:footerReference r:id="rId6" w:type="first"/>
          <w:headerReference r:id="rId3" w:type="default"/>
          <w:footerReference r:id="rId4" w:type="default"/>
          <w:footerReference r:id="rId5" w:type="even"/>
          <w:pgSz w:w="11907" w:h="16839"/>
          <w:pgMar w:top="1440" w:right="1361" w:bottom="1440" w:left="1469" w:header="624" w:footer="301" w:gutter="0"/>
          <w:pgNumType w:start="0"/>
          <w:cols w:space="720" w:num="1"/>
          <w:docGrid w:linePitch="380" w:charSpace="-5735"/>
        </w:sectPr>
      </w:pPr>
    </w:p>
    <w:p>
      <w:pPr>
        <w:tabs>
          <w:tab w:val="left" w:pos="5371"/>
        </w:tabs>
        <w:spacing w:before="120" w:after="120" w:line="360" w:lineRule="auto"/>
        <w:jc w:val="center"/>
        <w:rPr>
          <w:rFonts w:ascii="仿宋" w:hAnsi="仿宋" w:eastAsia="仿宋" w:cs="仿宋"/>
          <w:b/>
          <w:spacing w:val="20"/>
          <w:sz w:val="44"/>
          <w:szCs w:val="44"/>
        </w:rPr>
      </w:pPr>
    </w:p>
    <w:p>
      <w:pPr>
        <w:tabs>
          <w:tab w:val="left" w:pos="5371"/>
        </w:tabs>
        <w:spacing w:before="120" w:after="120" w:line="360" w:lineRule="auto"/>
        <w:jc w:val="center"/>
        <w:rPr>
          <w:rFonts w:ascii="仿宋" w:hAnsi="仿宋" w:eastAsia="仿宋" w:cs="仿宋"/>
          <w:b/>
          <w:spacing w:val="20"/>
          <w:sz w:val="44"/>
          <w:szCs w:val="44"/>
        </w:rPr>
      </w:pPr>
      <w:r>
        <w:rPr>
          <w:rFonts w:hint="eastAsia" w:ascii="仿宋" w:hAnsi="仿宋" w:eastAsia="仿宋" w:cs="仿宋"/>
          <w:b/>
          <w:spacing w:val="20"/>
          <w:sz w:val="44"/>
          <w:szCs w:val="44"/>
        </w:rPr>
        <w:t>资产评估说明目录</w:t>
      </w:r>
    </w:p>
    <w:p>
      <w:pPr>
        <w:pStyle w:val="36"/>
        <w:tabs>
          <w:tab w:val="right" w:leader="dot" w:pos="8993"/>
          <w:tab w:val="clear" w:pos="1050"/>
          <w:tab w:val="clear" w:pos="9066"/>
        </w:tabs>
        <w:spacing w:before="156" w:beforeLines="50" w:after="156" w:afterLines="50" w:line="600" w:lineRule="exact"/>
        <w:rPr>
          <w:rFonts w:ascii="仿宋" w:hAnsi="仿宋" w:eastAsia="仿宋" w:cs="仿宋"/>
          <w:spacing w:val="20"/>
          <w:sz w:val="32"/>
        </w:rPr>
      </w:pPr>
    </w:p>
    <w:p>
      <w:pPr>
        <w:pStyle w:val="36"/>
        <w:tabs>
          <w:tab w:val="right" w:leader="dot" w:pos="8993"/>
          <w:tab w:val="clear" w:pos="1050"/>
          <w:tab w:val="clear" w:pos="9066"/>
        </w:tabs>
        <w:spacing w:before="156" w:beforeLines="50" w:after="156" w:afterLines="50" w:line="600" w:lineRule="exact"/>
        <w:rPr>
          <w:rFonts w:ascii="仿宋" w:hAnsi="仿宋" w:eastAsia="仿宋" w:cs="仿宋"/>
          <w:sz w:val="30"/>
          <w:szCs w:val="30"/>
        </w:rPr>
      </w:pPr>
      <w:r>
        <w:rPr>
          <w:rFonts w:hint="eastAsia" w:ascii="仿宋" w:hAnsi="仿宋" w:eastAsia="仿宋" w:cs="仿宋"/>
          <w:spacing w:val="20"/>
          <w:sz w:val="32"/>
        </w:rPr>
        <w:fldChar w:fldCharType="begin"/>
      </w:r>
      <w:r>
        <w:rPr>
          <w:rFonts w:hint="eastAsia" w:ascii="仿宋" w:hAnsi="仿宋" w:eastAsia="仿宋" w:cs="仿宋"/>
          <w:spacing w:val="20"/>
          <w:sz w:val="32"/>
        </w:rPr>
        <w:instrText xml:space="preserve">TOC \o "1-3" \h \u </w:instrText>
      </w:r>
      <w:r>
        <w:rPr>
          <w:rFonts w:hint="eastAsia" w:ascii="仿宋" w:hAnsi="仿宋" w:eastAsia="仿宋" w:cs="仿宋"/>
          <w:spacing w:val="20"/>
          <w:sz w:val="32"/>
        </w:rPr>
        <w:fldChar w:fldCharType="separate"/>
      </w:r>
      <w:r>
        <w:fldChar w:fldCharType="begin"/>
      </w:r>
      <w:r>
        <w:instrText xml:space="preserve"> HYPERLINK \l "_Toc20715" </w:instrText>
      </w:r>
      <w:r>
        <w:fldChar w:fldCharType="separate"/>
      </w:r>
      <w:r>
        <w:rPr>
          <w:rFonts w:hint="eastAsia" w:ascii="仿宋" w:hAnsi="仿宋" w:eastAsia="仿宋" w:cs="仿宋"/>
          <w:sz w:val="30"/>
          <w:szCs w:val="30"/>
        </w:rPr>
        <w:t>第一部分 关于评估说明使用范围的声明</w:t>
      </w:r>
      <w:r>
        <w:rPr>
          <w:rFonts w:hint="eastAsia" w:ascii="仿宋" w:hAnsi="仿宋" w:eastAsia="仿宋" w:cs="仿宋"/>
          <w:sz w:val="30"/>
          <w:szCs w:val="30"/>
        </w:rPr>
        <w:tab/>
      </w:r>
      <w:r>
        <w:rPr>
          <w:rFonts w:hint="eastAsia" w:ascii="仿宋" w:hAnsi="仿宋" w:eastAsia="仿宋" w:cs="仿宋"/>
          <w:sz w:val="30"/>
          <w:szCs w:val="30"/>
        </w:rPr>
        <w:t>1</w:t>
      </w:r>
      <w:r>
        <w:rPr>
          <w:rFonts w:hint="eastAsia" w:ascii="仿宋" w:hAnsi="仿宋" w:eastAsia="仿宋" w:cs="仿宋"/>
          <w:sz w:val="30"/>
          <w:szCs w:val="30"/>
        </w:rPr>
        <w:fldChar w:fldCharType="end"/>
      </w:r>
    </w:p>
    <w:p>
      <w:pPr>
        <w:pStyle w:val="36"/>
        <w:tabs>
          <w:tab w:val="right" w:leader="dot" w:pos="8993"/>
          <w:tab w:val="clear" w:pos="1050"/>
          <w:tab w:val="clear" w:pos="9066"/>
        </w:tabs>
        <w:spacing w:before="156" w:beforeLines="50" w:after="156" w:afterLines="50" w:line="600" w:lineRule="exact"/>
        <w:rPr>
          <w:rFonts w:ascii="仿宋" w:hAnsi="仿宋" w:eastAsia="仿宋" w:cs="仿宋"/>
          <w:sz w:val="30"/>
          <w:szCs w:val="30"/>
        </w:rPr>
      </w:pPr>
      <w:r>
        <w:fldChar w:fldCharType="begin"/>
      </w:r>
      <w:r>
        <w:instrText xml:space="preserve"> HYPERLINK \l "_Toc20679" </w:instrText>
      </w:r>
      <w:r>
        <w:fldChar w:fldCharType="separate"/>
      </w:r>
      <w:r>
        <w:rPr>
          <w:rFonts w:hint="eastAsia" w:ascii="仿宋" w:hAnsi="仿宋" w:eastAsia="仿宋" w:cs="仿宋"/>
          <w:sz w:val="30"/>
          <w:szCs w:val="30"/>
        </w:rPr>
        <w:t>第二部分 企业关于进行资产评估有关事项的说明</w:t>
      </w:r>
      <w:r>
        <w:rPr>
          <w:rFonts w:hint="eastAsia" w:ascii="仿宋" w:hAnsi="仿宋" w:eastAsia="仿宋" w:cs="仿宋"/>
          <w:sz w:val="30"/>
          <w:szCs w:val="30"/>
        </w:rPr>
        <w:tab/>
      </w:r>
      <w:r>
        <w:rPr>
          <w:rFonts w:hint="eastAsia" w:ascii="仿宋" w:hAnsi="仿宋" w:eastAsia="仿宋" w:cs="仿宋"/>
          <w:sz w:val="30"/>
          <w:szCs w:val="30"/>
        </w:rPr>
        <w:t>2</w:t>
      </w:r>
      <w:r>
        <w:rPr>
          <w:rFonts w:hint="eastAsia" w:ascii="仿宋" w:hAnsi="仿宋" w:eastAsia="仿宋" w:cs="仿宋"/>
          <w:sz w:val="30"/>
          <w:szCs w:val="30"/>
        </w:rPr>
        <w:fldChar w:fldCharType="end"/>
      </w:r>
    </w:p>
    <w:p>
      <w:pPr>
        <w:pStyle w:val="36"/>
        <w:tabs>
          <w:tab w:val="right" w:leader="dot" w:pos="8993"/>
          <w:tab w:val="clear" w:pos="1050"/>
          <w:tab w:val="clear" w:pos="9066"/>
        </w:tabs>
        <w:spacing w:before="156" w:beforeLines="50" w:after="156" w:afterLines="50" w:line="600" w:lineRule="exact"/>
        <w:rPr>
          <w:rFonts w:ascii="仿宋" w:hAnsi="仿宋" w:eastAsia="仿宋" w:cs="仿宋"/>
          <w:sz w:val="30"/>
          <w:szCs w:val="30"/>
        </w:rPr>
      </w:pPr>
      <w:r>
        <w:fldChar w:fldCharType="begin"/>
      </w:r>
      <w:r>
        <w:instrText xml:space="preserve"> HYPERLINK \l "_Toc23178" </w:instrText>
      </w:r>
      <w:r>
        <w:fldChar w:fldCharType="separate"/>
      </w:r>
      <w:r>
        <w:rPr>
          <w:rFonts w:hint="eastAsia" w:ascii="仿宋" w:hAnsi="仿宋" w:eastAsia="仿宋" w:cs="仿宋"/>
          <w:sz w:val="30"/>
          <w:szCs w:val="30"/>
        </w:rPr>
        <w:t>第三部分 评估对象与评估范围说明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_Toc23178 </w:instrText>
      </w:r>
      <w:r>
        <w:rPr>
          <w:rFonts w:hint="eastAsia" w:ascii="仿宋" w:hAnsi="仿宋" w:eastAsia="仿宋" w:cs="仿宋"/>
          <w:sz w:val="30"/>
          <w:szCs w:val="30"/>
        </w:rPr>
        <w:fldChar w:fldCharType="separate"/>
      </w:r>
      <w:r>
        <w:rPr>
          <w:rFonts w:hint="eastAsia" w:ascii="仿宋" w:hAnsi="仿宋" w:eastAsia="仿宋" w:cs="仿宋"/>
          <w:sz w:val="30"/>
          <w:szCs w:val="30"/>
        </w:rPr>
        <w:t>13</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36"/>
        <w:tabs>
          <w:tab w:val="right" w:leader="dot" w:pos="8993"/>
          <w:tab w:val="clear" w:pos="1050"/>
          <w:tab w:val="clear" w:pos="9066"/>
        </w:tabs>
        <w:spacing w:before="156" w:beforeLines="50" w:after="156" w:afterLines="50" w:line="600" w:lineRule="exact"/>
        <w:rPr>
          <w:rFonts w:ascii="仿宋" w:hAnsi="仿宋" w:eastAsia="仿宋" w:cs="仿宋"/>
          <w:sz w:val="30"/>
          <w:szCs w:val="30"/>
        </w:rPr>
      </w:pPr>
      <w:r>
        <w:fldChar w:fldCharType="begin"/>
      </w:r>
      <w:r>
        <w:instrText xml:space="preserve"> HYPERLINK \l "_Toc6364" </w:instrText>
      </w:r>
      <w:r>
        <w:fldChar w:fldCharType="separate"/>
      </w:r>
      <w:r>
        <w:rPr>
          <w:rFonts w:hint="eastAsia" w:ascii="仿宋" w:hAnsi="仿宋" w:eastAsia="仿宋" w:cs="仿宋"/>
          <w:sz w:val="30"/>
          <w:szCs w:val="30"/>
        </w:rPr>
        <w:t>第四部分 资产核实情况总体说明</w:t>
      </w:r>
      <w:r>
        <w:rPr>
          <w:rFonts w:hint="eastAsia" w:ascii="仿宋" w:hAnsi="仿宋" w:eastAsia="仿宋" w:cs="仿宋"/>
          <w:sz w:val="30"/>
          <w:szCs w:val="30"/>
        </w:rPr>
        <w:tab/>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pacing w:val="20"/>
          <w:sz w:val="30"/>
          <w:szCs w:val="30"/>
        </w:rPr>
        <w:t>7</w:t>
      </w:r>
    </w:p>
    <w:p>
      <w:pPr>
        <w:pStyle w:val="36"/>
        <w:tabs>
          <w:tab w:val="right" w:leader="dot" w:pos="8993"/>
          <w:tab w:val="clear" w:pos="1050"/>
          <w:tab w:val="clear" w:pos="9066"/>
        </w:tabs>
        <w:spacing w:before="156" w:beforeLines="50" w:after="156" w:afterLines="50" w:line="600" w:lineRule="exact"/>
        <w:rPr>
          <w:rFonts w:ascii="仿宋" w:hAnsi="仿宋" w:eastAsia="仿宋" w:cs="仿宋"/>
          <w:sz w:val="30"/>
          <w:szCs w:val="30"/>
        </w:rPr>
      </w:pPr>
      <w:r>
        <w:fldChar w:fldCharType="begin"/>
      </w:r>
      <w:r>
        <w:instrText xml:space="preserve"> HYPERLINK \l "_Toc19355" </w:instrText>
      </w:r>
      <w:r>
        <w:fldChar w:fldCharType="separate"/>
      </w:r>
      <w:r>
        <w:rPr>
          <w:rFonts w:hint="eastAsia" w:ascii="仿宋" w:hAnsi="仿宋" w:eastAsia="仿宋" w:cs="仿宋"/>
          <w:sz w:val="30"/>
          <w:szCs w:val="30"/>
        </w:rPr>
        <w:t>第五部分</w:t>
      </w:r>
      <w:r>
        <w:rPr>
          <w:rFonts w:hint="eastAsia" w:ascii="仿宋" w:hAnsi="仿宋" w:eastAsia="仿宋" w:cs="仿宋"/>
          <w:spacing w:val="20"/>
          <w:sz w:val="30"/>
          <w:szCs w:val="30"/>
        </w:rPr>
        <w:t xml:space="preserve"> 资产基础法评估技术说明</w:t>
      </w:r>
      <w:r>
        <w:rPr>
          <w:rFonts w:hint="eastAsia" w:ascii="仿宋" w:hAnsi="仿宋" w:eastAsia="仿宋" w:cs="仿宋"/>
          <w:spacing w:val="20"/>
          <w:sz w:val="30"/>
          <w:szCs w:val="30"/>
        </w:rPr>
        <w:tab/>
      </w: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PAGEREF _Toc19355 </w:instrText>
      </w:r>
      <w:r>
        <w:rPr>
          <w:rFonts w:hint="eastAsia" w:ascii="仿宋" w:hAnsi="仿宋" w:eastAsia="仿宋" w:cs="仿宋"/>
          <w:spacing w:val="20"/>
          <w:sz w:val="30"/>
          <w:szCs w:val="30"/>
        </w:rPr>
        <w:fldChar w:fldCharType="separate"/>
      </w:r>
      <w:r>
        <w:rPr>
          <w:rFonts w:hint="eastAsia" w:ascii="仿宋" w:hAnsi="仿宋" w:eastAsia="仿宋" w:cs="仿宋"/>
          <w:spacing w:val="20"/>
          <w:sz w:val="30"/>
          <w:szCs w:val="30"/>
        </w:rPr>
        <w:t>21</w:t>
      </w:r>
      <w:r>
        <w:rPr>
          <w:rFonts w:hint="eastAsia" w:ascii="仿宋" w:hAnsi="仿宋" w:eastAsia="仿宋" w:cs="仿宋"/>
          <w:spacing w:val="20"/>
          <w:sz w:val="30"/>
          <w:szCs w:val="30"/>
        </w:rPr>
        <w:fldChar w:fldCharType="end"/>
      </w:r>
      <w:r>
        <w:rPr>
          <w:rFonts w:hint="eastAsia" w:ascii="仿宋" w:hAnsi="仿宋" w:eastAsia="仿宋" w:cs="仿宋"/>
          <w:spacing w:val="20"/>
          <w:sz w:val="30"/>
          <w:szCs w:val="30"/>
        </w:rPr>
        <w:fldChar w:fldCharType="end"/>
      </w:r>
    </w:p>
    <w:p>
      <w:pPr>
        <w:pStyle w:val="36"/>
        <w:tabs>
          <w:tab w:val="right" w:leader="dot" w:pos="8993"/>
          <w:tab w:val="clear" w:pos="1050"/>
          <w:tab w:val="clear" w:pos="9066"/>
        </w:tabs>
        <w:spacing w:before="156" w:beforeLines="50" w:after="156" w:afterLines="50" w:line="600" w:lineRule="exact"/>
        <w:rPr>
          <w:rFonts w:ascii="仿宋" w:hAnsi="仿宋" w:eastAsia="仿宋" w:cs="仿宋"/>
          <w:sz w:val="30"/>
          <w:szCs w:val="30"/>
        </w:rPr>
      </w:pPr>
      <w:r>
        <w:fldChar w:fldCharType="begin"/>
      </w:r>
      <w:r>
        <w:instrText xml:space="preserve"> HYPERLINK \l "_Toc7269" </w:instrText>
      </w:r>
      <w:r>
        <w:fldChar w:fldCharType="separate"/>
      </w:r>
      <w:r>
        <w:rPr>
          <w:rFonts w:hint="eastAsia" w:ascii="仿宋" w:hAnsi="仿宋" w:eastAsia="仿宋" w:cs="仿宋"/>
          <w:sz w:val="30"/>
          <w:szCs w:val="30"/>
        </w:rPr>
        <w:t>第六部分</w:t>
      </w:r>
      <w:r>
        <w:rPr>
          <w:rFonts w:hint="eastAsia" w:ascii="仿宋" w:hAnsi="仿宋" w:eastAsia="仿宋" w:cs="仿宋"/>
          <w:spacing w:val="20"/>
          <w:sz w:val="30"/>
          <w:szCs w:val="30"/>
        </w:rPr>
        <w:t xml:space="preserve"> 收益法评估技术说明</w:t>
      </w:r>
      <w:r>
        <w:rPr>
          <w:rFonts w:hint="eastAsia" w:ascii="仿宋" w:hAnsi="仿宋" w:eastAsia="仿宋" w:cs="仿宋"/>
          <w:spacing w:val="20"/>
          <w:sz w:val="30"/>
          <w:szCs w:val="30"/>
        </w:rPr>
        <w:tab/>
      </w: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PAGEREF _Toc7269 </w:instrText>
      </w:r>
      <w:r>
        <w:rPr>
          <w:rFonts w:hint="eastAsia" w:ascii="仿宋" w:hAnsi="仿宋" w:eastAsia="仿宋" w:cs="仿宋"/>
          <w:spacing w:val="20"/>
          <w:sz w:val="30"/>
          <w:szCs w:val="30"/>
        </w:rPr>
        <w:fldChar w:fldCharType="separate"/>
      </w:r>
      <w:r>
        <w:rPr>
          <w:rFonts w:hint="eastAsia" w:ascii="仿宋" w:hAnsi="仿宋" w:eastAsia="仿宋" w:cs="仿宋"/>
          <w:spacing w:val="20"/>
          <w:sz w:val="30"/>
          <w:szCs w:val="30"/>
        </w:rPr>
        <w:t>33</w:t>
      </w:r>
      <w:r>
        <w:rPr>
          <w:rFonts w:hint="eastAsia" w:ascii="仿宋" w:hAnsi="仿宋" w:eastAsia="仿宋" w:cs="仿宋"/>
          <w:spacing w:val="20"/>
          <w:sz w:val="30"/>
          <w:szCs w:val="30"/>
        </w:rPr>
        <w:fldChar w:fldCharType="end"/>
      </w:r>
      <w:r>
        <w:rPr>
          <w:rFonts w:hint="eastAsia" w:ascii="仿宋" w:hAnsi="仿宋" w:eastAsia="仿宋" w:cs="仿宋"/>
          <w:spacing w:val="20"/>
          <w:sz w:val="30"/>
          <w:szCs w:val="30"/>
        </w:rPr>
        <w:fldChar w:fldCharType="end"/>
      </w:r>
    </w:p>
    <w:p>
      <w:pPr>
        <w:pStyle w:val="36"/>
        <w:tabs>
          <w:tab w:val="right" w:leader="dot" w:pos="8993"/>
          <w:tab w:val="clear" w:pos="1050"/>
          <w:tab w:val="clear" w:pos="9066"/>
        </w:tabs>
        <w:spacing w:before="156" w:beforeLines="50" w:after="156" w:afterLines="50" w:line="600" w:lineRule="exact"/>
        <w:rPr>
          <w:rFonts w:ascii="仿宋" w:hAnsi="仿宋" w:eastAsia="仿宋" w:cs="仿宋"/>
          <w:spacing w:val="20"/>
          <w:sz w:val="30"/>
          <w:szCs w:val="30"/>
        </w:rPr>
      </w:pPr>
      <w:r>
        <w:fldChar w:fldCharType="begin"/>
      </w:r>
      <w:r>
        <w:instrText xml:space="preserve"> HYPERLINK \l "_Toc22838" </w:instrText>
      </w:r>
      <w:r>
        <w:fldChar w:fldCharType="separate"/>
      </w:r>
      <w:r>
        <w:rPr>
          <w:rFonts w:hint="eastAsia" w:ascii="仿宋" w:hAnsi="仿宋" w:eastAsia="仿宋" w:cs="仿宋"/>
          <w:sz w:val="30"/>
          <w:szCs w:val="30"/>
        </w:rPr>
        <w:t>第七部分</w:t>
      </w:r>
      <w:r>
        <w:rPr>
          <w:rFonts w:hint="eastAsia" w:ascii="仿宋" w:hAnsi="仿宋" w:eastAsia="仿宋" w:cs="仿宋"/>
          <w:spacing w:val="20"/>
          <w:sz w:val="30"/>
          <w:szCs w:val="30"/>
        </w:rPr>
        <w:t xml:space="preserve"> 评估结论及其分析</w:t>
      </w:r>
      <w:r>
        <w:rPr>
          <w:rFonts w:hint="eastAsia" w:ascii="仿宋" w:hAnsi="仿宋" w:eastAsia="仿宋" w:cs="仿宋"/>
          <w:spacing w:val="20"/>
          <w:sz w:val="30"/>
          <w:szCs w:val="30"/>
        </w:rPr>
        <w:tab/>
      </w: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PAGEREF _Toc22838 </w:instrText>
      </w:r>
      <w:r>
        <w:rPr>
          <w:rFonts w:hint="eastAsia" w:ascii="仿宋" w:hAnsi="仿宋" w:eastAsia="仿宋" w:cs="仿宋"/>
          <w:spacing w:val="20"/>
          <w:sz w:val="30"/>
          <w:szCs w:val="30"/>
        </w:rPr>
        <w:fldChar w:fldCharType="separate"/>
      </w:r>
      <w:r>
        <w:rPr>
          <w:rFonts w:hint="eastAsia" w:ascii="仿宋" w:hAnsi="仿宋" w:eastAsia="仿宋" w:cs="仿宋"/>
          <w:spacing w:val="20"/>
          <w:sz w:val="30"/>
          <w:szCs w:val="30"/>
        </w:rPr>
        <w:t>51</w:t>
      </w:r>
      <w:r>
        <w:rPr>
          <w:rFonts w:hint="eastAsia" w:ascii="仿宋" w:hAnsi="仿宋" w:eastAsia="仿宋" w:cs="仿宋"/>
          <w:spacing w:val="20"/>
          <w:sz w:val="30"/>
          <w:szCs w:val="30"/>
        </w:rPr>
        <w:fldChar w:fldCharType="end"/>
      </w:r>
      <w:r>
        <w:rPr>
          <w:rFonts w:hint="eastAsia" w:ascii="仿宋" w:hAnsi="仿宋" w:eastAsia="仿宋" w:cs="仿宋"/>
          <w:spacing w:val="20"/>
          <w:sz w:val="30"/>
          <w:szCs w:val="30"/>
        </w:rPr>
        <w:fldChar w:fldCharType="end"/>
      </w:r>
    </w:p>
    <w:p>
      <w:pPr>
        <w:pStyle w:val="43"/>
        <w:tabs>
          <w:tab w:val="right" w:leader="dot" w:pos="8993"/>
        </w:tabs>
        <w:spacing w:line="320" w:lineRule="exact"/>
        <w:rPr>
          <w:rFonts w:ascii="仿宋" w:hAnsi="仿宋" w:eastAsia="仿宋" w:cs="仿宋"/>
        </w:rPr>
      </w:pPr>
    </w:p>
    <w:p>
      <w:pPr>
        <w:tabs>
          <w:tab w:val="left" w:pos="5371"/>
        </w:tabs>
        <w:spacing w:before="120" w:after="120" w:line="360" w:lineRule="auto"/>
        <w:jc w:val="center"/>
        <w:outlineLvl w:val="2"/>
        <w:rPr>
          <w:rFonts w:ascii="仿宋" w:hAnsi="仿宋" w:eastAsia="仿宋" w:cs="仿宋"/>
          <w:b/>
          <w:spacing w:val="20"/>
          <w:sz w:val="32"/>
        </w:rPr>
      </w:pPr>
      <w:r>
        <w:rPr>
          <w:rFonts w:hint="eastAsia" w:ascii="仿宋" w:hAnsi="仿宋" w:eastAsia="仿宋" w:cs="仿宋"/>
          <w:spacing w:val="20"/>
        </w:rPr>
        <w:fldChar w:fldCharType="end"/>
      </w:r>
    </w:p>
    <w:p>
      <w:pPr>
        <w:pStyle w:val="2"/>
        <w:pageBreakBefore/>
        <w:numPr>
          <w:ilvl w:val="0"/>
          <w:numId w:val="5"/>
        </w:numPr>
        <w:tabs>
          <w:tab w:val="left" w:pos="1701"/>
        </w:tabs>
        <w:spacing w:before="312" w:beforeLines="100" w:after="312" w:afterLines="100" w:line="480" w:lineRule="exact"/>
        <w:ind w:left="0" w:firstLine="0"/>
        <w:jc w:val="center"/>
        <w:rPr>
          <w:rFonts w:ascii="仿宋" w:hAnsi="仿宋" w:eastAsia="仿宋" w:cs="仿宋"/>
          <w:bCs/>
          <w:sz w:val="30"/>
          <w:szCs w:val="30"/>
        </w:rPr>
        <w:sectPr>
          <w:pgSz w:w="11906" w:h="16838"/>
          <w:pgMar w:top="1440" w:right="1797" w:bottom="1440" w:left="1797" w:header="851" w:footer="851" w:gutter="0"/>
          <w:pgNumType w:start="1"/>
          <w:cols w:space="720" w:num="1"/>
          <w:docGrid w:type="lines" w:linePitch="312" w:charSpace="0"/>
        </w:sectPr>
      </w:pPr>
      <w:bookmarkStart w:id="0" w:name="_Toc529872038"/>
      <w:bookmarkStart w:id="1" w:name="_Toc529761185"/>
      <w:bookmarkStart w:id="2" w:name="_Toc532812667"/>
      <w:bookmarkStart w:id="3" w:name="_Toc20715"/>
      <w:bookmarkStart w:id="4" w:name="_Toc200082090"/>
      <w:bookmarkStart w:id="5" w:name="_Toc223346301"/>
      <w:bookmarkStart w:id="6" w:name="_Toc485741029"/>
    </w:p>
    <w:p>
      <w:pPr>
        <w:pStyle w:val="2"/>
        <w:pageBreakBefore/>
        <w:numPr>
          <w:ilvl w:val="0"/>
          <w:numId w:val="5"/>
        </w:numPr>
        <w:tabs>
          <w:tab w:val="left" w:pos="1701"/>
        </w:tabs>
        <w:spacing w:before="312" w:beforeLines="100" w:after="312" w:afterLines="100" w:line="480" w:lineRule="exact"/>
        <w:ind w:left="0" w:firstLine="0"/>
        <w:jc w:val="center"/>
        <w:rPr>
          <w:rFonts w:ascii="仿宋" w:hAnsi="仿宋" w:eastAsia="仿宋" w:cs="仿宋"/>
          <w:bCs/>
          <w:sz w:val="30"/>
          <w:szCs w:val="30"/>
        </w:rPr>
      </w:pPr>
      <w:r>
        <w:rPr>
          <w:rFonts w:hint="eastAsia" w:ascii="仿宋" w:hAnsi="仿宋" w:eastAsia="仿宋" w:cs="仿宋"/>
          <w:bCs/>
          <w:szCs w:val="32"/>
        </w:rPr>
        <w:t>关于评估说明使用范围的声明</w:t>
      </w:r>
      <w:bookmarkEnd w:id="0"/>
      <w:bookmarkEnd w:id="1"/>
      <w:bookmarkEnd w:id="2"/>
      <w:bookmarkEnd w:id="3"/>
      <w:bookmarkEnd w:id="4"/>
      <w:bookmarkEnd w:id="5"/>
      <w:bookmarkEnd w:id="6"/>
    </w:p>
    <w:p>
      <w:pPr>
        <w:spacing w:line="480" w:lineRule="exact"/>
        <w:ind w:firstLine="629"/>
        <w:rPr>
          <w:rFonts w:ascii="仿宋" w:hAnsi="仿宋" w:eastAsia="仿宋" w:cs="仿宋"/>
          <w:sz w:val="28"/>
          <w:szCs w:val="28"/>
        </w:rPr>
      </w:pPr>
      <w:r>
        <w:rPr>
          <w:rFonts w:hint="eastAsia" w:ascii="仿宋" w:hAnsi="仿宋" w:eastAsia="仿宋" w:cs="仿宋"/>
          <w:sz w:val="28"/>
          <w:szCs w:val="28"/>
        </w:rPr>
        <w:t>本评估说明仅供相关监管机构和部门使用。除法律、行政法规规定外，材料的全部或部分内容不得提供给其他任何单位和个人，不得见诸于公开媒体。</w:t>
      </w:r>
    </w:p>
    <w:p>
      <w:pPr>
        <w:spacing w:line="480" w:lineRule="exact"/>
        <w:ind w:firstLine="630"/>
        <w:rPr>
          <w:rFonts w:ascii="仿宋" w:hAnsi="仿宋" w:eastAsia="仿宋" w:cs="仿宋"/>
          <w:sz w:val="28"/>
          <w:szCs w:val="28"/>
        </w:rPr>
      </w:pPr>
      <w:r>
        <w:rPr>
          <w:rFonts w:hint="eastAsia" w:ascii="仿宋" w:hAnsi="仿宋" w:eastAsia="仿宋" w:cs="仿宋"/>
          <w:sz w:val="28"/>
          <w:szCs w:val="28"/>
        </w:rPr>
        <w:t>本评估说明涉及部分机密材料，敬请阅读者注意保密。</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rPr>
      </w:pPr>
    </w:p>
    <w:p>
      <w:pPr>
        <w:pStyle w:val="2"/>
        <w:pageBreakBefore/>
        <w:numPr>
          <w:ilvl w:val="0"/>
          <w:numId w:val="5"/>
        </w:numPr>
        <w:tabs>
          <w:tab w:val="left" w:pos="1701"/>
        </w:tabs>
        <w:spacing w:before="312" w:beforeLines="100" w:after="312" w:afterLines="100" w:line="460" w:lineRule="exact"/>
        <w:ind w:left="0" w:firstLine="0"/>
        <w:jc w:val="center"/>
        <w:rPr>
          <w:rFonts w:ascii="仿宋" w:hAnsi="仿宋" w:eastAsia="仿宋" w:cs="仿宋"/>
          <w:bCs/>
          <w:szCs w:val="32"/>
        </w:rPr>
      </w:pPr>
      <w:bookmarkStart w:id="7" w:name="_Toc485741030"/>
      <w:bookmarkStart w:id="8" w:name="_Toc20679"/>
      <w:bookmarkStart w:id="9" w:name="_Toc484097074"/>
      <w:r>
        <w:rPr>
          <w:rFonts w:hint="eastAsia" w:ascii="仿宋" w:hAnsi="仿宋" w:eastAsia="仿宋" w:cs="仿宋"/>
          <w:bCs/>
          <w:szCs w:val="32"/>
        </w:rPr>
        <w:t>企业关于进行资产评估有关事项的说明</w:t>
      </w:r>
      <w:bookmarkEnd w:id="7"/>
      <w:bookmarkEnd w:id="8"/>
      <w:bookmarkEnd w:id="9"/>
    </w:p>
    <w:p>
      <w:pPr>
        <w:spacing w:line="460" w:lineRule="exact"/>
        <w:jc w:val="center"/>
        <w:rPr>
          <w:rFonts w:ascii="仿宋" w:hAnsi="仿宋" w:eastAsia="仿宋" w:cs="仿宋"/>
          <w:b/>
          <w:bCs/>
          <w:sz w:val="28"/>
          <w:szCs w:val="28"/>
        </w:rPr>
      </w:pPr>
      <w:bookmarkStart w:id="10" w:name="_Toc250618324"/>
      <w:bookmarkStart w:id="11" w:name="_Toc289960450"/>
      <w:bookmarkStart w:id="12" w:name="_Toc78529682"/>
      <w:bookmarkStart w:id="13" w:name="_Toc404847292"/>
      <w:bookmarkStart w:id="14" w:name="_Toc407302526"/>
      <w:bookmarkStart w:id="15" w:name="_Toc251741769"/>
      <w:r>
        <w:rPr>
          <w:rFonts w:hint="eastAsia" w:ascii="仿宋" w:hAnsi="仿宋" w:eastAsia="仿宋" w:cs="仿宋"/>
          <w:b/>
          <w:bCs/>
          <w:sz w:val="28"/>
          <w:szCs w:val="28"/>
        </w:rPr>
        <w:t>（此部分由委托方暨被评估企业共同撰写</w:t>
      </w:r>
      <w:bookmarkEnd w:id="10"/>
      <w:bookmarkEnd w:id="11"/>
      <w:bookmarkEnd w:id="12"/>
      <w:bookmarkEnd w:id="13"/>
      <w:bookmarkEnd w:id="14"/>
      <w:bookmarkEnd w:id="15"/>
      <w:r>
        <w:rPr>
          <w:rFonts w:hint="eastAsia" w:ascii="仿宋" w:hAnsi="仿宋" w:eastAsia="仿宋" w:cs="仿宋"/>
          <w:b/>
          <w:bCs/>
          <w:sz w:val="28"/>
          <w:szCs w:val="28"/>
        </w:rPr>
        <w:t>）</w:t>
      </w:r>
    </w:p>
    <w:p>
      <w:pPr>
        <w:spacing w:line="460" w:lineRule="exact"/>
        <w:jc w:val="center"/>
        <w:rPr>
          <w:rFonts w:ascii="仿宋" w:hAnsi="仿宋" w:eastAsia="仿宋" w:cs="仿宋"/>
          <w:b/>
          <w:bCs/>
          <w:sz w:val="28"/>
          <w:szCs w:val="28"/>
        </w:rPr>
      </w:pPr>
    </w:p>
    <w:p>
      <w:pPr>
        <w:keepNext w:val="0"/>
        <w:keepLines w:val="0"/>
        <w:pageBreakBefore w:val="0"/>
        <w:widowControl w:val="0"/>
        <w:tabs>
          <w:tab w:val="left" w:pos="2516"/>
        </w:tabs>
        <w:kinsoku/>
        <w:wordWrap/>
        <w:overflowPunct/>
        <w:topLinePunct w:val="0"/>
        <w:autoSpaceDE/>
        <w:autoSpaceDN/>
        <w:bidi w:val="0"/>
        <w:spacing w:line="480" w:lineRule="exact"/>
        <w:textAlignment w:val="auto"/>
        <w:rPr>
          <w:rFonts w:ascii="仿宋" w:hAnsi="仿宋" w:eastAsia="仿宋" w:cs="仿宋"/>
          <w:b/>
          <w:sz w:val="28"/>
          <w:szCs w:val="28"/>
        </w:rPr>
      </w:pPr>
      <w:r>
        <w:rPr>
          <w:rFonts w:hint="eastAsia" w:ascii="仿宋" w:hAnsi="仿宋" w:eastAsia="仿宋" w:cs="仿宋"/>
          <w:b/>
          <w:sz w:val="28"/>
          <w:szCs w:val="28"/>
        </w:rPr>
        <w:t>一、委托人与被评估企业概况</w:t>
      </w:r>
    </w:p>
    <w:p>
      <w:pPr>
        <w:keepNext w:val="0"/>
        <w:keepLines w:val="0"/>
        <w:pageBreakBefore w:val="0"/>
        <w:widowControl w:val="0"/>
        <w:tabs>
          <w:tab w:val="left" w:pos="2516"/>
        </w:tabs>
        <w:kinsoku/>
        <w:wordWrap/>
        <w:overflowPunct/>
        <w:topLinePunct w:val="0"/>
        <w:autoSpaceDE/>
        <w:autoSpaceDN/>
        <w:bidi w:val="0"/>
        <w:spacing w:line="480" w:lineRule="exact"/>
        <w:ind w:firstLine="560" w:firstLineChars="200"/>
        <w:textAlignment w:val="auto"/>
        <w:rPr>
          <w:rFonts w:ascii="仿宋" w:hAnsi="仿宋" w:eastAsia="仿宋" w:cs="仿宋"/>
          <w:b/>
          <w:sz w:val="28"/>
          <w:szCs w:val="28"/>
        </w:rPr>
      </w:pPr>
      <w:r>
        <w:rPr>
          <w:rFonts w:hint="eastAsia" w:ascii="仿宋" w:hAnsi="仿宋" w:eastAsia="仿宋" w:cs="仿宋"/>
          <w:b/>
          <w:sz w:val="28"/>
          <w:szCs w:val="28"/>
        </w:rPr>
        <w:t>（一）委托人概况</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委托人名称：江苏省沿海农业发展有限公司</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法定住所：南京市奥体大街68号</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法定代表人：尤开军</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公司类型：有限公司</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成立日期：2016年11月9日</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营业日期：2016年11月9日至2046年11月8日</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color w:val="FF0000"/>
          <w:sz w:val="28"/>
          <w:szCs w:val="28"/>
        </w:rPr>
      </w:pPr>
      <w:r>
        <w:rPr>
          <w:rFonts w:hint="eastAsia" w:ascii="仿宋" w:hAnsi="仿宋" w:eastAsia="仿宋" w:cs="仿宋"/>
          <w:sz w:val="28"/>
          <w:szCs w:val="28"/>
        </w:rPr>
        <w:t>经营范围：沿海农业综合开发，农业种植、初级农副产品收购、加工与销售；粮食收购，预包装食品的批发与零售；粮食、粮油制品、饲料及原料等农业生产资料的销售、仓储、加工；淡水养殖（含种苗），水产养殖、加工、批发销售；农业机械设备购销，电商经营，仓储、物流等；农业技术推广服务，农业科学技术研究和试验发展；自营和代理各类商品的进出口业务；实业投资（以江苏省市场监督管理局核定为准）</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b/>
          <w:bCs/>
          <w:color w:val="FF0000"/>
          <w:sz w:val="28"/>
          <w:szCs w:val="28"/>
        </w:rPr>
      </w:pPr>
      <w:r>
        <w:rPr>
          <w:rFonts w:hint="eastAsia" w:ascii="仿宋" w:hAnsi="仿宋" w:eastAsia="仿宋" w:cs="仿宋"/>
          <w:b/>
          <w:bCs/>
          <w:sz w:val="28"/>
          <w:szCs w:val="28"/>
        </w:rPr>
        <w:t>（二）</w:t>
      </w:r>
      <w:r>
        <w:rPr>
          <w:rFonts w:hint="eastAsia" w:ascii="仿宋" w:hAnsi="仿宋" w:eastAsia="仿宋" w:cs="仿宋"/>
          <w:b/>
          <w:bCs/>
          <w:color w:val="000000"/>
          <w:sz w:val="28"/>
          <w:szCs w:val="28"/>
        </w:rPr>
        <w:t>被评估企业概况</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被评估企业名称：江苏焦点粮食储运有限公司（以下“焦点粮食”）</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highlight w:val="yellow"/>
        </w:rPr>
      </w:pPr>
      <w:r>
        <w:rPr>
          <w:rFonts w:hint="eastAsia" w:ascii="仿宋" w:hAnsi="仿宋" w:eastAsia="仿宋" w:cs="仿宋"/>
          <w:sz w:val="28"/>
          <w:szCs w:val="28"/>
        </w:rPr>
        <w:t>统一社会信用代码：91320982MA1MYG294K</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企业类型：有限责任公司</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法定住所：盐城市大丰区三龙镇龙南村二组</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法定代表人：裴柏平</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注册资本：2000万元整</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营业期限：2016年11月07日至******</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主要经营范围：粮食仓储；普通货物道路运输；内河港口经营（按许可证核定项目经营）；粮食收购；农产品初加工（除棉花加工）；粮食加工；农业技术推广服务；自营和代理各类商品和技术与进出口业务（国家限定企业经营或禁止进出口的商品和技术除外）</w:t>
      </w:r>
    </w:p>
    <w:p>
      <w:pPr>
        <w:keepNext w:val="0"/>
        <w:keepLines w:val="0"/>
        <w:pageBreakBefore w:val="0"/>
        <w:widowControl w:val="0"/>
        <w:numPr>
          <w:ilvl w:val="0"/>
          <w:numId w:val="6"/>
        </w:numPr>
        <w:kinsoku/>
        <w:wordWrap/>
        <w:overflowPunct/>
        <w:topLinePunct w:val="0"/>
        <w:autoSpaceDE/>
        <w:autoSpaceDN/>
        <w:bidi w:val="0"/>
        <w:spacing w:line="480" w:lineRule="exact"/>
        <w:ind w:firstLine="560" w:firstLineChars="200"/>
        <w:textAlignment w:val="auto"/>
        <w:rPr>
          <w:rFonts w:ascii="仿宋" w:hAnsi="仿宋" w:eastAsia="仿宋" w:cs="仿宋"/>
          <w:b/>
          <w:bCs/>
          <w:sz w:val="28"/>
          <w:szCs w:val="28"/>
        </w:rPr>
      </w:pPr>
      <w:r>
        <w:rPr>
          <w:rFonts w:hint="eastAsia" w:ascii="仿宋" w:hAnsi="仿宋" w:eastAsia="仿宋" w:cs="仿宋"/>
          <w:b/>
          <w:bCs/>
          <w:sz w:val="28"/>
          <w:szCs w:val="28"/>
        </w:rPr>
        <w:t>股权结构</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江苏焦点粮食储运有限公司系由盐城市大丰区粮食购销总公司、江苏焦点农业科技有限公司出资组建的有限责任公司，2016年11月7日在盐城市大丰区市场监督管理局登记成立。成立时注册资本2000万元，其中：盐城市大丰区粮食购销总公司出资1020万元、占注册资本的51%，江苏焦点农业科技有限公司出资980万元、占注册资本的49%。</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b/>
          <w:sz w:val="28"/>
          <w:szCs w:val="28"/>
        </w:rPr>
      </w:pPr>
      <w:r>
        <w:rPr>
          <w:rFonts w:hint="eastAsia" w:ascii="仿宋" w:hAnsi="仿宋" w:eastAsia="仿宋" w:cs="仿宋"/>
          <w:sz w:val="28"/>
          <w:szCs w:val="28"/>
        </w:rPr>
        <w:t>2020年6月28日，盐城市大丰区粮食购销总公司和江苏焦点农业科技有限公司将其共同持有的本公司100%的股权转让给盐城市大丰区三龙资产经营有限公司，成交价为1</w:t>
      </w:r>
      <w:r>
        <w:rPr>
          <w:rFonts w:ascii="仿宋" w:hAnsi="仿宋" w:eastAsia="仿宋" w:cs="仿宋"/>
          <w:sz w:val="28"/>
          <w:szCs w:val="28"/>
        </w:rPr>
        <w:t>383</w:t>
      </w:r>
      <w:r>
        <w:rPr>
          <w:rFonts w:hint="eastAsia" w:ascii="仿宋" w:hAnsi="仿宋" w:eastAsia="仿宋" w:cs="仿宋"/>
          <w:sz w:val="28"/>
          <w:szCs w:val="28"/>
        </w:rPr>
        <w:t>.</w:t>
      </w:r>
      <w:r>
        <w:rPr>
          <w:rFonts w:ascii="仿宋" w:hAnsi="仿宋" w:eastAsia="仿宋" w:cs="仿宋"/>
          <w:sz w:val="28"/>
          <w:szCs w:val="28"/>
        </w:rPr>
        <w:t>9</w:t>
      </w:r>
      <w:r>
        <w:rPr>
          <w:rFonts w:hint="eastAsia" w:ascii="仿宋" w:hAnsi="仿宋" w:eastAsia="仿宋" w:cs="仿宋"/>
          <w:sz w:val="28"/>
          <w:szCs w:val="28"/>
        </w:rPr>
        <w:t>165万元，转让后，盐城市大丰区三龙资产经营有限公司持有</w:t>
      </w:r>
      <w:r>
        <w:rPr>
          <w:rFonts w:hint="eastAsia" w:ascii="仿宋" w:hAnsi="仿宋" w:eastAsia="仿宋"/>
          <w:sz w:val="28"/>
          <w:szCs w:val="28"/>
        </w:rPr>
        <w:t>被评估企业</w:t>
      </w:r>
      <w:r>
        <w:rPr>
          <w:rFonts w:hint="eastAsia" w:ascii="仿宋" w:hAnsi="仿宋" w:eastAsia="仿宋" w:cs="仿宋"/>
          <w:sz w:val="28"/>
          <w:szCs w:val="28"/>
        </w:rPr>
        <w:t>的全部股权。</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b/>
          <w:bCs/>
          <w:sz w:val="28"/>
          <w:szCs w:val="28"/>
        </w:rPr>
      </w:pPr>
      <w:r>
        <w:rPr>
          <w:rFonts w:hint="eastAsia" w:ascii="仿宋" w:hAnsi="仿宋" w:eastAsia="仿宋" w:cs="仿宋"/>
          <w:b/>
          <w:bCs/>
          <w:sz w:val="28"/>
          <w:szCs w:val="28"/>
        </w:rPr>
        <w:t>2、主要资产状况</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截止2020年06月30日末，账面资产总额为11,677,320.49元、账面负债总额为14,490.23元、账面净资产总额11,662,830.26元。</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b/>
          <w:bCs/>
          <w:sz w:val="28"/>
          <w:szCs w:val="28"/>
        </w:rPr>
      </w:pPr>
      <w:r>
        <w:rPr>
          <w:rFonts w:hint="eastAsia" w:ascii="仿宋" w:hAnsi="仿宋" w:eastAsia="仿宋" w:cs="仿宋"/>
          <w:b/>
          <w:bCs/>
          <w:sz w:val="28"/>
          <w:szCs w:val="28"/>
        </w:rPr>
        <w:t>3、主要产品及生产、销售情况</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无</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b/>
          <w:bCs/>
          <w:sz w:val="28"/>
          <w:szCs w:val="28"/>
        </w:rPr>
      </w:pPr>
      <w:r>
        <w:rPr>
          <w:rFonts w:hint="eastAsia" w:ascii="仿宋" w:hAnsi="仿宋" w:eastAsia="仿宋" w:cs="仿宋"/>
          <w:b/>
          <w:bCs/>
          <w:sz w:val="28"/>
          <w:szCs w:val="28"/>
        </w:rPr>
        <w:t>4、执行的主要会计政策</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执行财政部颁布的企业会计准则。</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近三年的资产、负债及经营状况</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ascii="仿宋" w:hAnsi="仿宋" w:eastAsia="仿宋" w:cs="仿宋"/>
          <w:sz w:val="28"/>
          <w:szCs w:val="28"/>
        </w:rPr>
      </w:pPr>
      <w:r>
        <w:rPr>
          <w:rFonts w:hint="eastAsia" w:ascii="仿宋" w:hAnsi="仿宋" w:eastAsia="仿宋" w:cs="仿宋"/>
          <w:sz w:val="28"/>
          <w:szCs w:val="28"/>
        </w:rPr>
        <w:t>历年资产负债表</w:t>
      </w:r>
    </w:p>
    <w:p>
      <w:pPr>
        <w:adjustRightInd w:val="0"/>
        <w:snapToGrid w:val="0"/>
        <w:spacing w:line="460" w:lineRule="exact"/>
        <w:ind w:right="212" w:rightChars="101"/>
        <w:jc w:val="right"/>
        <w:rPr>
          <w:rFonts w:ascii="仿宋" w:hAnsi="仿宋" w:eastAsia="仿宋" w:cs="仿宋"/>
          <w:sz w:val="24"/>
        </w:rPr>
      </w:pPr>
      <w:r>
        <w:rPr>
          <w:rFonts w:hint="eastAsia" w:ascii="仿宋" w:hAnsi="仿宋" w:eastAsia="仿宋" w:cs="仿宋"/>
          <w:sz w:val="24"/>
        </w:rPr>
        <w:t>金额单位：人民币元</w:t>
      </w:r>
    </w:p>
    <w:tbl>
      <w:tblPr>
        <w:tblStyle w:val="54"/>
        <w:tblW w:w="8620" w:type="dxa"/>
        <w:jc w:val="center"/>
        <w:tblLayout w:type="fixed"/>
        <w:tblCellMar>
          <w:top w:w="15" w:type="dxa"/>
          <w:left w:w="15" w:type="dxa"/>
          <w:bottom w:w="15" w:type="dxa"/>
          <w:right w:w="15" w:type="dxa"/>
        </w:tblCellMar>
      </w:tblPr>
      <w:tblGrid>
        <w:gridCol w:w="2687"/>
        <w:gridCol w:w="1947"/>
        <w:gridCol w:w="1984"/>
        <w:gridCol w:w="2002"/>
      </w:tblGrid>
      <w:tr>
        <w:tblPrEx>
          <w:tblCellMar>
            <w:top w:w="15" w:type="dxa"/>
            <w:left w:w="15" w:type="dxa"/>
            <w:bottom w:w="15" w:type="dxa"/>
            <w:right w:w="15" w:type="dxa"/>
          </w:tblCellMar>
        </w:tblPrEx>
        <w:trPr>
          <w:trHeight w:val="433"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szCs w:val="21"/>
              </w:rPr>
              <w:t>项目</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2018年</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2019年</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2020年6月30日</w:t>
            </w: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流动资产：</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货币资金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1,687,413.10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1,226,054.72</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预付账款</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应收账款</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仿宋" w:hAnsi="仿宋" w:eastAsia="仿宋" w:cs="仿宋"/>
                <w:color w:val="000000"/>
                <w:szCs w:val="21"/>
                <w:lang w:val="en-US" w:eastAsia="zh-CN"/>
              </w:rPr>
            </w:pPr>
            <w:r>
              <w:rPr>
                <w:rFonts w:hint="eastAsia" w:ascii="仿宋" w:hAnsi="仿宋" w:eastAsia="仿宋" w:cs="仿宋"/>
                <w:color w:val="000000"/>
                <w:szCs w:val="21"/>
              </w:rPr>
              <w:t>130,000</w:t>
            </w:r>
            <w:r>
              <w:rPr>
                <w:rFonts w:hint="eastAsia" w:ascii="仿宋" w:hAnsi="仿宋" w:eastAsia="仿宋" w:cs="仿宋"/>
                <w:color w:val="000000"/>
                <w:szCs w:val="21"/>
                <w:lang w:val="en-US" w:eastAsia="zh-CN"/>
              </w:rPr>
              <w:t>.00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应收股利</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其他应收款</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183,089.39</w:t>
            </w: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存货</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其他流动资产</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流动资产合计</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1,817,413.10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1,226,054.72</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r>
              <w:rPr>
                <w:rFonts w:ascii="仿宋" w:hAnsi="仿宋" w:eastAsia="仿宋" w:cs="仿宋"/>
                <w:b/>
                <w:bCs/>
                <w:color w:val="000000"/>
                <w:kern w:val="0"/>
                <w:szCs w:val="21"/>
                <w:lang w:bidi="ar"/>
              </w:rPr>
              <w:t>183,089.39</w:t>
            </w: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非流动资产：</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长期应收款</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长期股权投资</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投资性房地产</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非流动资产</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减：非流动资产减值准备</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在建工程</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r>
              <w:rPr>
                <w:rFonts w:hint="eastAsia" w:ascii="仿宋" w:hAnsi="仿宋" w:eastAsia="仿宋" w:cs="仿宋"/>
                <w:color w:val="000000"/>
                <w:szCs w:val="21"/>
              </w:rPr>
              <w:t>462,664.00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r>
              <w:rPr>
                <w:rFonts w:ascii="仿宋" w:hAnsi="仿宋" w:eastAsia="仿宋" w:cs="仿宋"/>
                <w:color w:val="000000"/>
                <w:szCs w:val="21"/>
              </w:rPr>
              <w:t>9</w:t>
            </w:r>
            <w:r>
              <w:rPr>
                <w:rFonts w:hint="eastAsia" w:ascii="仿宋" w:hAnsi="仿宋" w:eastAsia="仿宋" w:cs="仿宋"/>
                <w:color w:val="000000"/>
                <w:szCs w:val="21"/>
              </w:rPr>
              <w:t>75,539.00</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r>
              <w:rPr>
                <w:rFonts w:hint="eastAsia" w:ascii="仿宋" w:hAnsi="仿宋" w:eastAsia="仿宋" w:cs="仿宋"/>
                <w:color w:val="000000"/>
                <w:szCs w:val="21"/>
              </w:rPr>
              <w:t>989,039.00</w:t>
            </w: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工程物资</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非流动资产净额</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无形资产</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11,041,459.5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10,799,811.39</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10,688,281.49</w:t>
            </w: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开发支出</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非流动资产合计</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11,504,123.5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11,775,350.39</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11,677,320.49</w:t>
            </w:r>
          </w:p>
        </w:tc>
      </w:tr>
      <w:tr>
        <w:tblPrEx>
          <w:tblCellMar>
            <w:top w:w="15" w:type="dxa"/>
            <w:left w:w="15" w:type="dxa"/>
            <w:bottom w:w="15" w:type="dxa"/>
            <w:right w:w="15" w:type="dxa"/>
          </w:tblCellMar>
        </w:tblPrEx>
        <w:trPr>
          <w:trHeight w:val="452"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资产总计</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13,321,536.60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13,001,405.11</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12,860,409.88</w:t>
            </w: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流动负债：</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应付账款</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应付职工薪酬</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应交税费</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szCs w:val="21"/>
              </w:rPr>
            </w:pPr>
            <w:r>
              <w:rPr>
                <w:rFonts w:hint="eastAsia" w:ascii="仿宋" w:hAnsi="仿宋" w:eastAsia="仿宋" w:cs="仿宋"/>
                <w:szCs w:val="21"/>
              </w:rPr>
              <w:t>38,250.50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kern w:val="0"/>
                <w:szCs w:val="21"/>
                <w:lang w:bidi="ar"/>
              </w:rPr>
            </w:pPr>
            <w:r>
              <w:rPr>
                <w:rFonts w:hint="eastAsia" w:ascii="仿宋" w:hAnsi="仿宋" w:eastAsia="仿宋" w:cs="仿宋"/>
                <w:kern w:val="0"/>
                <w:szCs w:val="21"/>
                <w:lang w:bidi="ar"/>
              </w:rPr>
              <w:t>14,490.23</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szCs w:val="21"/>
              </w:rPr>
            </w:pPr>
            <w:r>
              <w:rPr>
                <w:rFonts w:hint="eastAsia" w:ascii="仿宋" w:hAnsi="仿宋" w:eastAsia="仿宋" w:cs="仿宋"/>
                <w:kern w:val="0"/>
                <w:szCs w:val="21"/>
                <w:lang w:bidi="ar"/>
              </w:rPr>
              <w:t>14,490.23</w:t>
            </w: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其他应付款</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kern w:val="0"/>
                <w:szCs w:val="21"/>
                <w:lang w:bidi="ar"/>
              </w:rPr>
            </w:pPr>
            <w:r>
              <w:rPr>
                <w:rFonts w:hint="eastAsia" w:ascii="仿宋" w:hAnsi="仿宋" w:eastAsia="仿宋" w:cs="仿宋"/>
                <w:kern w:val="0"/>
                <w:szCs w:val="21"/>
                <w:lang w:bidi="ar"/>
              </w:rPr>
              <w:t>1,396,139.40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kern w:val="0"/>
                <w:szCs w:val="21"/>
                <w:lang w:bidi="ar"/>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流动负债合计</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1,434,389.90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14,490.23</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14,490.23</w:t>
            </w: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非流动负债：</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长期借款</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FF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FF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长期应付款</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FF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FF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非流动负债合计</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FF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FF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负债合计</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kern w:val="0"/>
                <w:szCs w:val="21"/>
                <w:lang w:bidi="ar"/>
              </w:rPr>
              <w:t>1,434,389.90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ascii="仿宋" w:hAnsi="仿宋" w:eastAsia="仿宋" w:cs="仿宋"/>
                <w:b/>
                <w:bCs/>
                <w:color w:val="000000"/>
                <w:kern w:val="0"/>
                <w:szCs w:val="21"/>
                <w:lang w:bidi="ar"/>
              </w:rPr>
              <w:t>14,490.23</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kern w:val="0"/>
                <w:szCs w:val="21"/>
                <w:lang w:bidi="ar"/>
              </w:rPr>
              <w:t>14,490.23</w:t>
            </w: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所有者权益：</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FF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FF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实收资本</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12,100,000.00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12,100,000.00</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12,100,000.00</w:t>
            </w: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国有资本</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其中：国有法人资本</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集体资本</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民营资本</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资本公积</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盈余公积</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其中:法定公积金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任意公积金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未分配利润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-212,853.3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886,914.88</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745,919.65</w:t>
            </w:r>
          </w:p>
        </w:tc>
      </w:tr>
      <w:tr>
        <w:tblPrEx>
          <w:tblCellMar>
            <w:top w:w="15" w:type="dxa"/>
            <w:left w:w="15" w:type="dxa"/>
            <w:bottom w:w="15" w:type="dxa"/>
            <w:right w:w="15" w:type="dxa"/>
          </w:tblCellMar>
        </w:tblPrEx>
        <w:trPr>
          <w:trHeight w:val="270"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所有者权益合计</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1,887,146.70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ascii="仿宋" w:hAnsi="仿宋" w:eastAsia="仿宋" w:cs="仿宋"/>
                <w:b/>
                <w:bCs/>
                <w:color w:val="000000"/>
                <w:kern w:val="0"/>
                <w:szCs w:val="21"/>
                <w:lang w:bidi="ar"/>
              </w:rPr>
              <w:t>12,986,914.88</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ascii="仿宋" w:hAnsi="仿宋" w:eastAsia="仿宋" w:cs="仿宋"/>
                <w:b/>
                <w:bCs/>
                <w:color w:val="000000"/>
                <w:kern w:val="0"/>
                <w:szCs w:val="21"/>
                <w:lang w:bidi="ar"/>
              </w:rPr>
              <w:t>12,845,919.65</w:t>
            </w:r>
          </w:p>
        </w:tc>
      </w:tr>
      <w:tr>
        <w:tblPrEx>
          <w:tblCellMar>
            <w:top w:w="15" w:type="dxa"/>
            <w:left w:w="15" w:type="dxa"/>
            <w:bottom w:w="15" w:type="dxa"/>
            <w:right w:w="15" w:type="dxa"/>
          </w:tblCellMar>
        </w:tblPrEx>
        <w:trPr>
          <w:trHeight w:val="497" w:hRule="atLeast"/>
          <w:jc w:val="center"/>
        </w:trPr>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负债及所有者权益总计</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13,321,536.6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ascii="仿宋" w:hAnsi="仿宋" w:eastAsia="仿宋" w:cs="仿宋"/>
                <w:b/>
                <w:bCs/>
                <w:color w:val="000000"/>
                <w:kern w:val="0"/>
                <w:szCs w:val="21"/>
                <w:lang w:bidi="ar"/>
              </w:rPr>
              <w:t>13,001,405.11</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ascii="仿宋" w:hAnsi="仿宋" w:eastAsia="仿宋" w:cs="仿宋"/>
                <w:b/>
                <w:bCs/>
                <w:color w:val="000000"/>
                <w:kern w:val="0"/>
                <w:szCs w:val="21"/>
                <w:lang w:bidi="ar"/>
              </w:rPr>
              <w:t>12,860,409.88</w:t>
            </w:r>
          </w:p>
        </w:tc>
      </w:tr>
    </w:tbl>
    <w:p>
      <w:pPr>
        <w:keepNext w:val="0"/>
        <w:keepLines w:val="0"/>
        <w:pageBreakBefore w:val="0"/>
        <w:widowControl w:val="0"/>
        <w:kinsoku/>
        <w:wordWrap/>
        <w:overflowPunct/>
        <w:topLinePunct w:val="0"/>
        <w:autoSpaceDE/>
        <w:autoSpaceDN/>
        <w:bidi w:val="0"/>
        <w:adjustRightInd w:val="0"/>
        <w:snapToGrid w:val="0"/>
        <w:spacing w:before="312" w:beforeLines="100" w:line="480" w:lineRule="exact"/>
        <w:ind w:left="420"/>
        <w:jc w:val="center"/>
        <w:textAlignment w:val="auto"/>
        <w:rPr>
          <w:rFonts w:ascii="仿宋" w:hAnsi="仿宋" w:eastAsia="仿宋" w:cs="仿宋"/>
          <w:sz w:val="28"/>
          <w:szCs w:val="28"/>
        </w:rPr>
      </w:pPr>
      <w:r>
        <w:rPr>
          <w:rFonts w:hint="eastAsia" w:ascii="仿宋" w:hAnsi="仿宋" w:eastAsia="仿宋" w:cs="仿宋"/>
          <w:sz w:val="28"/>
          <w:szCs w:val="28"/>
        </w:rPr>
        <w:t>利润表</w:t>
      </w:r>
    </w:p>
    <w:p>
      <w:pPr>
        <w:adjustRightInd w:val="0"/>
        <w:snapToGrid w:val="0"/>
        <w:spacing w:line="480" w:lineRule="exact"/>
        <w:ind w:left="539" w:right="571" w:rightChars="272" w:firstLine="4860" w:firstLineChars="2025"/>
        <w:jc w:val="right"/>
        <w:rPr>
          <w:rFonts w:ascii="仿宋" w:hAnsi="仿宋" w:eastAsia="仿宋" w:cs="仿宋"/>
          <w:sz w:val="24"/>
        </w:rPr>
      </w:pPr>
      <w:r>
        <w:rPr>
          <w:rFonts w:hint="eastAsia" w:ascii="仿宋" w:hAnsi="仿宋" w:eastAsia="仿宋" w:cs="仿宋"/>
          <w:sz w:val="24"/>
        </w:rPr>
        <w:t>金额单位：人民币元</w:t>
      </w:r>
    </w:p>
    <w:tbl>
      <w:tblPr>
        <w:tblStyle w:val="54"/>
        <w:tblW w:w="8244" w:type="dxa"/>
        <w:jc w:val="center"/>
        <w:tblLayout w:type="fixed"/>
        <w:tblCellMar>
          <w:top w:w="0" w:type="dxa"/>
          <w:left w:w="108" w:type="dxa"/>
          <w:bottom w:w="0" w:type="dxa"/>
          <w:right w:w="108" w:type="dxa"/>
        </w:tblCellMar>
      </w:tblPr>
      <w:tblGrid>
        <w:gridCol w:w="2432"/>
        <w:gridCol w:w="1985"/>
        <w:gridCol w:w="1842"/>
        <w:gridCol w:w="1985"/>
      </w:tblGrid>
      <w:tr>
        <w:tblPrEx>
          <w:tblCellMar>
            <w:top w:w="0" w:type="dxa"/>
            <w:left w:w="108" w:type="dxa"/>
            <w:bottom w:w="0" w:type="dxa"/>
            <w:right w:w="108" w:type="dxa"/>
          </w:tblCellMar>
        </w:tblPrEx>
        <w:trPr>
          <w:trHeight w:val="355" w:hRule="atLeast"/>
          <w:jc w:val="center"/>
        </w:trPr>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b/>
                <w:kern w:val="0"/>
                <w:sz w:val="20"/>
                <w:szCs w:val="20"/>
              </w:rPr>
            </w:pPr>
            <w:r>
              <w:rPr>
                <w:rFonts w:hint="eastAsia" w:ascii="仿宋" w:hAnsi="仿宋" w:eastAsia="仿宋" w:cs="仿宋"/>
                <w:b/>
                <w:kern w:val="0"/>
                <w:sz w:val="20"/>
                <w:szCs w:val="20"/>
              </w:rPr>
              <w:t>项目</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kern w:val="0"/>
                <w:sz w:val="20"/>
                <w:szCs w:val="20"/>
              </w:rPr>
            </w:pPr>
            <w:r>
              <w:rPr>
                <w:rFonts w:hint="eastAsia" w:ascii="仿宋" w:hAnsi="仿宋" w:eastAsia="仿宋" w:cs="仿宋"/>
                <w:b/>
                <w:kern w:val="0"/>
                <w:sz w:val="20"/>
                <w:szCs w:val="20"/>
              </w:rPr>
              <w:t>2018年</w:t>
            </w: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kern w:val="0"/>
                <w:sz w:val="20"/>
                <w:szCs w:val="20"/>
              </w:rPr>
            </w:pPr>
            <w:r>
              <w:rPr>
                <w:rFonts w:hint="eastAsia" w:ascii="仿宋" w:hAnsi="仿宋" w:eastAsia="仿宋" w:cs="仿宋"/>
                <w:b/>
                <w:kern w:val="0"/>
                <w:sz w:val="20"/>
                <w:szCs w:val="20"/>
              </w:rPr>
              <w:t>2019年</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kern w:val="0"/>
                <w:sz w:val="20"/>
                <w:szCs w:val="20"/>
              </w:rPr>
            </w:pPr>
            <w:r>
              <w:rPr>
                <w:rFonts w:hint="eastAsia" w:ascii="仿宋" w:hAnsi="仿宋" w:eastAsia="仿宋" w:cs="仿宋"/>
                <w:b/>
                <w:kern w:val="0"/>
                <w:sz w:val="20"/>
                <w:szCs w:val="20"/>
              </w:rPr>
              <w:t>2020年1-6月</w:t>
            </w: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b/>
                <w:bCs/>
                <w:kern w:val="0"/>
                <w:sz w:val="20"/>
                <w:szCs w:val="20"/>
              </w:rPr>
            </w:pPr>
            <w:r>
              <w:rPr>
                <w:rFonts w:hint="eastAsia" w:ascii="仿宋" w:hAnsi="仿宋" w:eastAsia="仿宋" w:cs="仿宋"/>
                <w:b/>
                <w:bCs/>
                <w:kern w:val="0"/>
                <w:sz w:val="20"/>
                <w:szCs w:val="20"/>
              </w:rPr>
              <w:t>一、营业收入</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其中：主营业务收入</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ind w:firstLine="600" w:firstLineChars="300"/>
              <w:jc w:val="left"/>
              <w:rPr>
                <w:rFonts w:ascii="仿宋" w:hAnsi="仿宋" w:eastAsia="仿宋" w:cs="仿宋"/>
                <w:kern w:val="0"/>
                <w:sz w:val="20"/>
                <w:szCs w:val="20"/>
              </w:rPr>
            </w:pPr>
            <w:r>
              <w:rPr>
                <w:rFonts w:hint="eastAsia" w:ascii="仿宋" w:hAnsi="仿宋" w:eastAsia="仿宋" w:cs="仿宋"/>
                <w:kern w:val="0"/>
                <w:sz w:val="20"/>
                <w:szCs w:val="20"/>
              </w:rPr>
              <w:t>其他营业收入</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减：营业成本</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其中：主营业务成本</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ind w:firstLine="600" w:firstLineChars="300"/>
              <w:jc w:val="left"/>
              <w:rPr>
                <w:rFonts w:ascii="仿宋" w:hAnsi="仿宋" w:eastAsia="仿宋" w:cs="仿宋"/>
                <w:kern w:val="0"/>
                <w:sz w:val="20"/>
                <w:szCs w:val="20"/>
              </w:rPr>
            </w:pPr>
            <w:r>
              <w:rPr>
                <w:rFonts w:hint="eastAsia" w:ascii="仿宋" w:hAnsi="仿宋" w:eastAsia="仿宋" w:cs="仿宋"/>
                <w:kern w:val="0"/>
                <w:sz w:val="20"/>
                <w:szCs w:val="20"/>
              </w:rPr>
              <w:t>其他业务成本</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营业税金及附加</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70</w:t>
            </w:r>
            <w:r>
              <w:rPr>
                <w:rFonts w:ascii="仿宋" w:hAnsi="仿宋" w:eastAsia="仿宋" w:cs="仿宋"/>
                <w:kern w:val="0"/>
                <w:sz w:val="20"/>
                <w:szCs w:val="20"/>
              </w:rPr>
              <w:t>,</w:t>
            </w:r>
            <w:r>
              <w:rPr>
                <w:rFonts w:hint="eastAsia" w:ascii="仿宋" w:hAnsi="仿宋" w:eastAsia="仿宋" w:cs="仿宋"/>
                <w:kern w:val="0"/>
                <w:sz w:val="20"/>
                <w:szCs w:val="20"/>
              </w:rPr>
              <w:t>451.00</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57</w:t>
            </w:r>
            <w:r>
              <w:rPr>
                <w:rFonts w:ascii="仿宋" w:hAnsi="仿宋" w:eastAsia="仿宋" w:cs="仿宋"/>
                <w:kern w:val="0"/>
                <w:sz w:val="20"/>
                <w:szCs w:val="20"/>
              </w:rPr>
              <w:t>,</w:t>
            </w:r>
            <w:r>
              <w:rPr>
                <w:rFonts w:hint="eastAsia" w:ascii="仿宋" w:hAnsi="仿宋" w:eastAsia="仿宋" w:cs="仿宋"/>
                <w:kern w:val="0"/>
                <w:sz w:val="20"/>
                <w:szCs w:val="20"/>
              </w:rPr>
              <w:t>960.92</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28</w:t>
            </w:r>
            <w:r>
              <w:rPr>
                <w:rFonts w:ascii="仿宋" w:hAnsi="仿宋" w:eastAsia="仿宋" w:cs="仿宋"/>
                <w:kern w:val="0"/>
                <w:sz w:val="20"/>
                <w:szCs w:val="20"/>
              </w:rPr>
              <w:t>,</w:t>
            </w:r>
            <w:r>
              <w:rPr>
                <w:rFonts w:hint="eastAsia" w:ascii="仿宋" w:hAnsi="仿宋" w:eastAsia="仿宋" w:cs="仿宋"/>
                <w:kern w:val="0"/>
                <w:sz w:val="20"/>
                <w:szCs w:val="20"/>
              </w:rPr>
              <w:t>980.46</w:t>
            </w: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管理费用</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69</w:t>
            </w:r>
            <w:r>
              <w:rPr>
                <w:rFonts w:ascii="仿宋" w:hAnsi="仿宋" w:eastAsia="仿宋" w:cs="仿宋"/>
                <w:kern w:val="0"/>
                <w:sz w:val="20"/>
                <w:szCs w:val="20"/>
              </w:rPr>
              <w:t>,</w:t>
            </w:r>
            <w:r>
              <w:rPr>
                <w:rFonts w:hint="eastAsia" w:ascii="仿宋" w:hAnsi="仿宋" w:eastAsia="仿宋" w:cs="仿宋"/>
                <w:kern w:val="0"/>
                <w:sz w:val="20"/>
                <w:szCs w:val="20"/>
              </w:rPr>
              <w:t>532.73</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223</w:t>
            </w:r>
            <w:r>
              <w:rPr>
                <w:rFonts w:ascii="仿宋" w:hAnsi="仿宋" w:eastAsia="仿宋" w:cs="仿宋"/>
                <w:kern w:val="0"/>
                <w:sz w:val="20"/>
                <w:szCs w:val="20"/>
              </w:rPr>
              <w:t>,</w:t>
            </w:r>
            <w:r>
              <w:rPr>
                <w:rFonts w:hint="eastAsia" w:ascii="仿宋" w:hAnsi="仿宋" w:eastAsia="仿宋" w:cs="仿宋"/>
                <w:kern w:val="0"/>
                <w:sz w:val="20"/>
                <w:szCs w:val="20"/>
              </w:rPr>
              <w:t>059.80</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113</w:t>
            </w:r>
            <w:r>
              <w:rPr>
                <w:rFonts w:ascii="仿宋" w:hAnsi="仿宋" w:eastAsia="仿宋" w:cs="仿宋"/>
                <w:kern w:val="0"/>
                <w:sz w:val="20"/>
                <w:szCs w:val="20"/>
              </w:rPr>
              <w:t>,</w:t>
            </w:r>
            <w:r>
              <w:rPr>
                <w:rFonts w:hint="eastAsia" w:ascii="仿宋" w:hAnsi="仿宋" w:eastAsia="仿宋" w:cs="仿宋"/>
                <w:kern w:val="0"/>
                <w:sz w:val="20"/>
                <w:szCs w:val="20"/>
              </w:rPr>
              <w:t>529.90</w:t>
            </w: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营业费用</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财务费用</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-9</w:t>
            </w:r>
            <w:r>
              <w:rPr>
                <w:rFonts w:ascii="仿宋" w:hAnsi="仿宋" w:eastAsia="仿宋" w:cs="仿宋"/>
                <w:kern w:val="0"/>
                <w:sz w:val="20"/>
                <w:szCs w:val="20"/>
              </w:rPr>
              <w:t>,</w:t>
            </w:r>
            <w:r>
              <w:rPr>
                <w:rFonts w:hint="eastAsia" w:ascii="仿宋" w:hAnsi="仿宋" w:eastAsia="仿宋" w:cs="仿宋"/>
                <w:kern w:val="0"/>
                <w:sz w:val="20"/>
                <w:szCs w:val="20"/>
              </w:rPr>
              <w:t>948.41</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-3</w:t>
            </w:r>
            <w:r>
              <w:rPr>
                <w:rFonts w:ascii="仿宋" w:hAnsi="仿宋" w:eastAsia="仿宋" w:cs="仿宋"/>
                <w:kern w:val="0"/>
                <w:sz w:val="20"/>
                <w:szCs w:val="20"/>
              </w:rPr>
              <w:t>,</w:t>
            </w:r>
            <w:r>
              <w:rPr>
                <w:rFonts w:hint="eastAsia" w:ascii="仿宋" w:hAnsi="仿宋" w:eastAsia="仿宋" w:cs="仿宋"/>
                <w:kern w:val="0"/>
                <w:sz w:val="20"/>
                <w:szCs w:val="20"/>
              </w:rPr>
              <w:t>382.71</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-1</w:t>
            </w:r>
            <w:r>
              <w:rPr>
                <w:rFonts w:ascii="仿宋" w:hAnsi="仿宋" w:eastAsia="仿宋" w:cs="仿宋"/>
                <w:kern w:val="0"/>
                <w:sz w:val="20"/>
                <w:szCs w:val="20"/>
              </w:rPr>
              <w:t>,</w:t>
            </w:r>
            <w:r>
              <w:rPr>
                <w:rFonts w:hint="eastAsia" w:ascii="仿宋" w:hAnsi="仿宋" w:eastAsia="仿宋" w:cs="仿宋"/>
                <w:kern w:val="0"/>
                <w:sz w:val="20"/>
                <w:szCs w:val="20"/>
              </w:rPr>
              <w:t>515.13</w:t>
            </w: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资产减值损失</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加：公允价值变动收益</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投资收益</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b/>
                <w:bCs/>
                <w:kern w:val="0"/>
                <w:sz w:val="20"/>
                <w:szCs w:val="20"/>
              </w:rPr>
            </w:pPr>
            <w:r>
              <w:rPr>
                <w:rFonts w:hint="eastAsia" w:ascii="仿宋" w:hAnsi="仿宋" w:eastAsia="仿宋" w:cs="仿宋"/>
                <w:b/>
                <w:bCs/>
                <w:kern w:val="0"/>
                <w:sz w:val="20"/>
                <w:szCs w:val="20"/>
              </w:rPr>
              <w:t>二、营业利润</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-130</w:t>
            </w:r>
            <w:r>
              <w:rPr>
                <w:rFonts w:ascii="仿宋" w:hAnsi="仿宋" w:eastAsia="仿宋" w:cs="仿宋"/>
                <w:b/>
                <w:bCs/>
                <w:kern w:val="0"/>
                <w:sz w:val="20"/>
                <w:szCs w:val="20"/>
              </w:rPr>
              <w:t>,</w:t>
            </w:r>
            <w:r>
              <w:rPr>
                <w:rFonts w:hint="eastAsia" w:ascii="仿宋" w:hAnsi="仿宋" w:eastAsia="仿宋" w:cs="仿宋"/>
                <w:b/>
                <w:bCs/>
                <w:kern w:val="0"/>
                <w:sz w:val="20"/>
                <w:szCs w:val="20"/>
              </w:rPr>
              <w:t>035.32</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-277</w:t>
            </w:r>
            <w:r>
              <w:rPr>
                <w:rFonts w:ascii="仿宋" w:hAnsi="仿宋" w:eastAsia="仿宋" w:cs="仿宋"/>
                <w:b/>
                <w:bCs/>
                <w:kern w:val="0"/>
                <w:sz w:val="20"/>
                <w:szCs w:val="20"/>
              </w:rPr>
              <w:t>,</w:t>
            </w:r>
            <w:r>
              <w:rPr>
                <w:rFonts w:hint="eastAsia" w:ascii="仿宋" w:hAnsi="仿宋" w:eastAsia="仿宋" w:cs="仿宋"/>
                <w:b/>
                <w:bCs/>
                <w:kern w:val="0"/>
                <w:sz w:val="20"/>
                <w:szCs w:val="20"/>
              </w:rPr>
              <w:t>638.01</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w:t>
            </w:r>
            <w:r>
              <w:rPr>
                <w:rFonts w:ascii="仿宋" w:hAnsi="仿宋" w:eastAsia="仿宋" w:cs="仿宋"/>
                <w:b/>
                <w:bCs/>
                <w:kern w:val="0"/>
                <w:sz w:val="20"/>
                <w:szCs w:val="20"/>
              </w:rPr>
              <w:t>140,995.23</w:t>
            </w: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加：营业外收入</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减：营业外支出</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144.90</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b/>
                <w:bCs/>
                <w:kern w:val="0"/>
                <w:sz w:val="20"/>
                <w:szCs w:val="20"/>
              </w:rPr>
            </w:pPr>
            <w:r>
              <w:rPr>
                <w:rFonts w:hint="eastAsia" w:ascii="仿宋" w:hAnsi="仿宋" w:eastAsia="仿宋" w:cs="仿宋"/>
                <w:b/>
                <w:bCs/>
                <w:kern w:val="0"/>
                <w:sz w:val="20"/>
                <w:szCs w:val="20"/>
              </w:rPr>
              <w:t>三、利润总额</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-130</w:t>
            </w:r>
            <w:r>
              <w:rPr>
                <w:rFonts w:ascii="仿宋" w:hAnsi="仿宋" w:eastAsia="仿宋" w:cs="仿宋"/>
                <w:b/>
                <w:bCs/>
                <w:kern w:val="0"/>
                <w:sz w:val="20"/>
                <w:szCs w:val="20"/>
              </w:rPr>
              <w:t>,</w:t>
            </w:r>
            <w:r>
              <w:rPr>
                <w:rFonts w:hint="eastAsia" w:ascii="仿宋" w:hAnsi="仿宋" w:eastAsia="仿宋" w:cs="仿宋"/>
                <w:b/>
                <w:bCs/>
                <w:kern w:val="0"/>
                <w:sz w:val="20"/>
                <w:szCs w:val="20"/>
              </w:rPr>
              <w:t>035.32</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-277</w:t>
            </w:r>
            <w:r>
              <w:rPr>
                <w:rFonts w:ascii="仿宋" w:hAnsi="仿宋" w:eastAsia="仿宋" w:cs="仿宋"/>
                <w:b/>
                <w:bCs/>
                <w:kern w:val="0"/>
                <w:sz w:val="20"/>
                <w:szCs w:val="20"/>
              </w:rPr>
              <w:t>,</w:t>
            </w:r>
            <w:r>
              <w:rPr>
                <w:rFonts w:hint="eastAsia" w:ascii="仿宋" w:hAnsi="仿宋" w:eastAsia="仿宋" w:cs="仿宋"/>
                <w:b/>
                <w:bCs/>
                <w:kern w:val="0"/>
                <w:sz w:val="20"/>
                <w:szCs w:val="20"/>
              </w:rPr>
              <w:t>782.91</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w:t>
            </w:r>
            <w:r>
              <w:rPr>
                <w:rFonts w:ascii="仿宋" w:hAnsi="仿宋" w:eastAsia="仿宋" w:cs="仿宋"/>
                <w:b/>
                <w:bCs/>
                <w:kern w:val="0"/>
                <w:sz w:val="20"/>
                <w:szCs w:val="20"/>
              </w:rPr>
              <w:t>140,995.23</w:t>
            </w: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减：所得税费用</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355" w:hRule="atLeast"/>
          <w:jc w:val="center"/>
        </w:trPr>
        <w:tc>
          <w:tcPr>
            <w:tcW w:w="24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b/>
                <w:bCs/>
                <w:kern w:val="0"/>
                <w:sz w:val="20"/>
                <w:szCs w:val="20"/>
              </w:rPr>
            </w:pPr>
            <w:r>
              <w:rPr>
                <w:rFonts w:hint="eastAsia" w:ascii="仿宋" w:hAnsi="仿宋" w:eastAsia="仿宋" w:cs="仿宋"/>
                <w:b/>
                <w:bCs/>
                <w:kern w:val="0"/>
                <w:sz w:val="20"/>
                <w:szCs w:val="20"/>
              </w:rPr>
              <w:t>四、净利润</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-130</w:t>
            </w:r>
            <w:r>
              <w:rPr>
                <w:rFonts w:ascii="仿宋" w:hAnsi="仿宋" w:eastAsia="仿宋" w:cs="仿宋"/>
                <w:b/>
                <w:bCs/>
                <w:kern w:val="0"/>
                <w:sz w:val="20"/>
                <w:szCs w:val="20"/>
              </w:rPr>
              <w:t>,</w:t>
            </w:r>
            <w:r>
              <w:rPr>
                <w:rFonts w:hint="eastAsia" w:ascii="仿宋" w:hAnsi="仿宋" w:eastAsia="仿宋" w:cs="仿宋"/>
                <w:b/>
                <w:bCs/>
                <w:kern w:val="0"/>
                <w:sz w:val="20"/>
                <w:szCs w:val="20"/>
              </w:rPr>
              <w:t>035.32</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-277</w:t>
            </w:r>
            <w:r>
              <w:rPr>
                <w:rFonts w:ascii="仿宋" w:hAnsi="仿宋" w:eastAsia="仿宋" w:cs="仿宋"/>
                <w:b/>
                <w:bCs/>
                <w:kern w:val="0"/>
                <w:sz w:val="20"/>
                <w:szCs w:val="20"/>
              </w:rPr>
              <w:t>,</w:t>
            </w:r>
            <w:r>
              <w:rPr>
                <w:rFonts w:hint="eastAsia" w:ascii="仿宋" w:hAnsi="仿宋" w:eastAsia="仿宋" w:cs="仿宋"/>
                <w:b/>
                <w:bCs/>
                <w:kern w:val="0"/>
                <w:sz w:val="20"/>
                <w:szCs w:val="20"/>
              </w:rPr>
              <w:t>782.91</w:t>
            </w:r>
          </w:p>
        </w:tc>
        <w:tc>
          <w:tcPr>
            <w:tcW w:w="1985"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w:t>
            </w:r>
            <w:r>
              <w:rPr>
                <w:rFonts w:ascii="仿宋" w:hAnsi="仿宋" w:eastAsia="仿宋" w:cs="仿宋"/>
                <w:b/>
                <w:bCs/>
                <w:kern w:val="0"/>
                <w:sz w:val="20"/>
                <w:szCs w:val="20"/>
              </w:rPr>
              <w:t>140,995.23</w:t>
            </w:r>
          </w:p>
        </w:tc>
      </w:tr>
    </w:tbl>
    <w:p>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ascii="仿宋" w:hAnsi="仿宋" w:eastAsia="仿宋" w:cs="仿宋"/>
          <w:sz w:val="28"/>
          <w:szCs w:val="28"/>
        </w:rPr>
      </w:pPr>
      <w:r>
        <w:rPr>
          <w:rFonts w:hint="eastAsia" w:ascii="仿宋" w:hAnsi="仿宋" w:eastAsia="仿宋" w:cs="仿宋"/>
          <w:b/>
          <w:bCs/>
          <w:sz w:val="28"/>
          <w:szCs w:val="28"/>
        </w:rPr>
        <w:t>（三）委托人与被评估企业之间的关系</w:t>
      </w:r>
    </w:p>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委托人拟收购被评估企业的全部股权。</w:t>
      </w:r>
    </w:p>
    <w:p>
      <w:pPr>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b/>
          <w:bCs/>
          <w:sz w:val="28"/>
          <w:szCs w:val="28"/>
        </w:rPr>
      </w:pPr>
      <w:r>
        <w:rPr>
          <w:rFonts w:hint="eastAsia" w:ascii="仿宋" w:hAnsi="仿宋" w:eastAsia="仿宋" w:cs="仿宋"/>
          <w:b/>
          <w:bCs/>
          <w:sz w:val="28"/>
          <w:szCs w:val="28"/>
        </w:rPr>
        <w:t>二、关于经济行为的说明</w:t>
      </w:r>
    </w:p>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bookmarkStart w:id="16" w:name="_Hlk46179899"/>
      <w:bookmarkStart w:id="17" w:name="_Hlk534631204"/>
      <w:r>
        <w:rPr>
          <w:rFonts w:hint="eastAsia" w:ascii="仿宋" w:hAnsi="仿宋" w:eastAsia="仿宋" w:cs="仿宋"/>
          <w:sz w:val="28"/>
          <w:szCs w:val="28"/>
        </w:rPr>
        <w:t>江苏省沿海农业发展有限公司</w:t>
      </w:r>
      <w:bookmarkEnd w:id="16"/>
      <w:bookmarkStart w:id="18" w:name="_Hlk46180061"/>
      <w:r>
        <w:rPr>
          <w:rFonts w:hint="eastAsia" w:ascii="仿宋" w:hAnsi="仿宋" w:eastAsia="仿宋" w:cs="仿宋"/>
          <w:sz w:val="28"/>
          <w:szCs w:val="28"/>
        </w:rPr>
        <w:t>2</w:t>
      </w:r>
      <w:r>
        <w:rPr>
          <w:rFonts w:ascii="仿宋" w:hAnsi="仿宋" w:eastAsia="仿宋" w:cs="仿宋"/>
          <w:sz w:val="28"/>
          <w:szCs w:val="28"/>
        </w:rPr>
        <w:t>020</w:t>
      </w:r>
      <w:r>
        <w:rPr>
          <w:rFonts w:hint="eastAsia" w:ascii="仿宋" w:hAnsi="仿宋" w:eastAsia="仿宋" w:cs="仿宋"/>
          <w:sz w:val="28"/>
          <w:szCs w:val="28"/>
        </w:rPr>
        <w:t>年5月7日</w:t>
      </w:r>
      <w:bookmarkEnd w:id="18"/>
      <w:r>
        <w:rPr>
          <w:rFonts w:hint="eastAsia" w:ascii="仿宋" w:hAnsi="仿宋" w:eastAsia="仿宋" w:cs="仿宋"/>
          <w:sz w:val="28"/>
          <w:szCs w:val="28"/>
        </w:rPr>
        <w:t>第1</w:t>
      </w:r>
      <w:r>
        <w:rPr>
          <w:rFonts w:ascii="仿宋" w:hAnsi="仿宋" w:eastAsia="仿宋" w:cs="仿宋"/>
          <w:sz w:val="28"/>
          <w:szCs w:val="28"/>
        </w:rPr>
        <w:t>0</w:t>
      </w:r>
      <w:r>
        <w:rPr>
          <w:rFonts w:hint="eastAsia" w:ascii="仿宋" w:hAnsi="仿宋" w:eastAsia="仿宋" w:cs="仿宋"/>
          <w:sz w:val="28"/>
          <w:szCs w:val="28"/>
        </w:rPr>
        <w:t>号办公会会议纪要同意</w:t>
      </w:r>
      <w:bookmarkStart w:id="19" w:name="_Hlk46180089"/>
      <w:r>
        <w:rPr>
          <w:rFonts w:hint="eastAsia" w:ascii="仿宋" w:hAnsi="仿宋" w:eastAsia="仿宋" w:cs="仿宋"/>
          <w:sz w:val="28"/>
          <w:szCs w:val="28"/>
        </w:rPr>
        <w:t>江苏省沿海农业发展有限公司收购江苏焦点粮食储运有限公司1</w:t>
      </w:r>
      <w:r>
        <w:rPr>
          <w:rFonts w:ascii="仿宋" w:hAnsi="仿宋" w:eastAsia="仿宋" w:cs="仿宋"/>
          <w:sz w:val="28"/>
          <w:szCs w:val="28"/>
        </w:rPr>
        <w:t>00</w:t>
      </w:r>
      <w:r>
        <w:rPr>
          <w:rFonts w:hint="eastAsia" w:ascii="仿宋" w:hAnsi="仿宋" w:eastAsia="仿宋" w:cs="仿宋"/>
          <w:sz w:val="28"/>
          <w:szCs w:val="28"/>
        </w:rPr>
        <w:t>%股权</w:t>
      </w:r>
      <w:bookmarkEnd w:id="19"/>
      <w:r>
        <w:rPr>
          <w:rFonts w:hint="eastAsia" w:ascii="仿宋" w:hAnsi="仿宋" w:eastAsia="仿宋" w:cs="仿宋"/>
          <w:sz w:val="28"/>
          <w:szCs w:val="28"/>
        </w:rPr>
        <w:t>，收购方案提报公司董事会审议。</w:t>
      </w:r>
    </w:p>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江苏省沿海开发集团有限公司2</w:t>
      </w:r>
      <w:r>
        <w:rPr>
          <w:rFonts w:ascii="仿宋" w:hAnsi="仿宋" w:eastAsia="仿宋" w:cs="仿宋"/>
          <w:sz w:val="28"/>
          <w:szCs w:val="28"/>
        </w:rPr>
        <w:t>020</w:t>
      </w:r>
      <w:r>
        <w:rPr>
          <w:rFonts w:hint="eastAsia" w:ascii="仿宋" w:hAnsi="仿宋" w:eastAsia="仿宋" w:cs="仿宋"/>
          <w:sz w:val="28"/>
          <w:szCs w:val="28"/>
        </w:rPr>
        <w:t>年5月</w:t>
      </w:r>
      <w:r>
        <w:rPr>
          <w:rFonts w:ascii="仿宋" w:hAnsi="仿宋" w:eastAsia="仿宋" w:cs="仿宋"/>
          <w:sz w:val="28"/>
          <w:szCs w:val="28"/>
        </w:rPr>
        <w:t>29</w:t>
      </w:r>
      <w:r>
        <w:rPr>
          <w:rFonts w:hint="eastAsia" w:ascii="仿宋" w:hAnsi="仿宋" w:eastAsia="仿宋" w:cs="仿宋"/>
          <w:sz w:val="28"/>
          <w:szCs w:val="28"/>
        </w:rPr>
        <w:t>日第1</w:t>
      </w:r>
      <w:r>
        <w:rPr>
          <w:rFonts w:ascii="仿宋" w:hAnsi="仿宋" w:eastAsia="仿宋" w:cs="仿宋"/>
          <w:sz w:val="28"/>
          <w:szCs w:val="28"/>
        </w:rPr>
        <w:t>1</w:t>
      </w:r>
      <w:r>
        <w:rPr>
          <w:rFonts w:hint="eastAsia" w:ascii="仿宋" w:hAnsi="仿宋" w:eastAsia="仿宋" w:cs="仿宋"/>
          <w:sz w:val="28"/>
          <w:szCs w:val="28"/>
        </w:rPr>
        <w:t>号专题会议纪要同意江苏省沿海农业发展有限公司收购江苏焦点粮食储运有限公司1</w:t>
      </w:r>
      <w:r>
        <w:rPr>
          <w:rFonts w:ascii="仿宋" w:hAnsi="仿宋" w:eastAsia="仿宋" w:cs="仿宋"/>
          <w:sz w:val="28"/>
          <w:szCs w:val="28"/>
        </w:rPr>
        <w:t>00</w:t>
      </w:r>
      <w:r>
        <w:rPr>
          <w:rFonts w:hint="eastAsia" w:ascii="仿宋" w:hAnsi="仿宋" w:eastAsia="仿宋" w:cs="仿宋"/>
          <w:sz w:val="28"/>
          <w:szCs w:val="28"/>
        </w:rPr>
        <w:t>%股权，要求江苏省沿海农业发展有限公司按照国有资产评估管理办法的规定，在集团资产评估备选库中择优选择评估单位，并履行程序。</w:t>
      </w:r>
      <w:bookmarkEnd w:id="17"/>
    </w:p>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江苏省沿海农业发展有限公司委托本公司</w:t>
      </w:r>
      <w:bookmarkStart w:id="20" w:name="_Hlk534630464"/>
      <w:r>
        <w:rPr>
          <w:rFonts w:hint="eastAsia" w:ascii="仿宋" w:hAnsi="仿宋" w:eastAsia="仿宋" w:cs="仿宋"/>
          <w:sz w:val="28"/>
          <w:szCs w:val="28"/>
        </w:rPr>
        <w:t>对</w:t>
      </w:r>
      <w:bookmarkEnd w:id="20"/>
      <w:r>
        <w:rPr>
          <w:rFonts w:hint="eastAsia" w:ascii="仿宋" w:hAnsi="仿宋" w:eastAsia="仿宋" w:cs="仿宋"/>
          <w:sz w:val="28"/>
          <w:szCs w:val="28"/>
        </w:rPr>
        <w:t>江苏焦点粮食储运有限公司股东全部股权的市场价值进行评估，为上述经济行为提供价值参考。</w:t>
      </w:r>
    </w:p>
    <w:p>
      <w:pPr>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sz w:val="28"/>
          <w:szCs w:val="28"/>
        </w:rPr>
      </w:pPr>
      <w:r>
        <w:rPr>
          <w:rFonts w:hint="eastAsia" w:ascii="仿宋" w:hAnsi="仿宋" w:eastAsia="仿宋" w:cs="仿宋"/>
          <w:b/>
          <w:bCs/>
          <w:sz w:val="28"/>
          <w:szCs w:val="28"/>
        </w:rPr>
        <w:t>三、关于评估对象与评估范围的说明</w:t>
      </w:r>
    </w:p>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评估对象为江苏焦点粮食储运有限公司股东全部股权，与评估对象相对应的评估范围为</w:t>
      </w:r>
      <w:bookmarkStart w:id="21" w:name="_Hlk535701436"/>
      <w:r>
        <w:rPr>
          <w:rFonts w:hint="eastAsia" w:ascii="仿宋" w:hAnsi="仿宋" w:eastAsia="仿宋" w:cs="仿宋"/>
          <w:sz w:val="28"/>
          <w:szCs w:val="28"/>
        </w:rPr>
        <w:t>江苏焦点粮食储运有限公司申报的并经过中兴华会计师事务所（特殊普通合伙）审计的截止2020年06月30日江苏焦点粮食储运有限公司全部资产及相关负债。</w:t>
      </w:r>
      <w:bookmarkEnd w:id="21"/>
    </w:p>
    <w:p>
      <w:pPr>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被评估企业申报评估的于评估基准日的经审计的账面资产总额为</w:t>
      </w:r>
      <w:r>
        <w:rPr>
          <w:rFonts w:ascii="仿宋" w:hAnsi="仿宋" w:eastAsia="仿宋" w:cs="仿宋"/>
          <w:sz w:val="28"/>
          <w:szCs w:val="28"/>
        </w:rPr>
        <w:t>12,860,409.88</w:t>
      </w:r>
      <w:r>
        <w:rPr>
          <w:rFonts w:hint="eastAsia" w:ascii="仿宋" w:hAnsi="仿宋" w:eastAsia="仿宋" w:cs="仿宋"/>
          <w:sz w:val="28"/>
          <w:szCs w:val="28"/>
        </w:rPr>
        <w:t>元、账面负债总额为14,490.23元、账面净资产总额</w:t>
      </w:r>
      <w:r>
        <w:rPr>
          <w:rFonts w:ascii="仿宋" w:hAnsi="仿宋" w:eastAsia="仿宋" w:cs="仿宋"/>
          <w:sz w:val="28"/>
          <w:szCs w:val="28"/>
        </w:rPr>
        <w:t>12,845,919.65</w:t>
      </w:r>
      <w:r>
        <w:rPr>
          <w:rFonts w:hint="eastAsia" w:ascii="仿宋" w:hAnsi="仿宋" w:eastAsia="仿宋" w:cs="仿宋"/>
          <w:sz w:val="28"/>
          <w:szCs w:val="28"/>
        </w:rPr>
        <w:t>元。表3.2系被评估企业申报评估的于评估基准日的资产负债表。</w:t>
      </w:r>
    </w:p>
    <w:p>
      <w:pPr>
        <w:keepNext/>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sz w:val="28"/>
          <w:szCs w:val="28"/>
        </w:rPr>
      </w:pPr>
      <w:r>
        <w:rPr>
          <w:rFonts w:hint="eastAsia" w:ascii="仿宋" w:hAnsi="仿宋" w:eastAsia="仿宋" w:cs="仿宋"/>
          <w:sz w:val="28"/>
          <w:szCs w:val="28"/>
        </w:rPr>
        <w:t>表3.2 被评估企业申报评估的资产负债表</w:t>
      </w:r>
    </w:p>
    <w:p>
      <w:pPr>
        <w:keepNext/>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Cs w:val="21"/>
        </w:rPr>
        <w:t>2020年06月30日</w:t>
      </w:r>
      <w:r>
        <w:rPr>
          <w:rFonts w:hint="eastAsia" w:ascii="仿宋" w:hAnsi="仿宋" w:eastAsia="仿宋" w:cs="仿宋"/>
          <w:sz w:val="28"/>
          <w:szCs w:val="28"/>
        </w:rPr>
        <w:t>）</w:t>
      </w:r>
    </w:p>
    <w:p>
      <w:pPr>
        <w:adjustRightInd w:val="0"/>
        <w:snapToGrid w:val="0"/>
        <w:spacing w:line="460" w:lineRule="exact"/>
        <w:ind w:left="539" w:right="571" w:rightChars="272" w:firstLine="3645" w:firstLineChars="2025"/>
        <w:jc w:val="right"/>
        <w:rPr>
          <w:rFonts w:ascii="仿宋" w:hAnsi="仿宋" w:eastAsia="仿宋" w:cs="仿宋"/>
          <w:sz w:val="24"/>
        </w:rPr>
      </w:pPr>
      <w:r>
        <w:rPr>
          <w:rFonts w:hint="eastAsia" w:ascii="仿宋" w:hAnsi="仿宋" w:eastAsia="仿宋" w:cs="仿宋"/>
          <w:sz w:val="18"/>
          <w:szCs w:val="18"/>
        </w:rPr>
        <w:t xml:space="preserve">                </w:t>
      </w:r>
      <w:r>
        <w:rPr>
          <w:rFonts w:hint="eastAsia" w:ascii="仿宋" w:hAnsi="仿宋" w:eastAsia="仿宋" w:cs="仿宋"/>
          <w:sz w:val="24"/>
        </w:rPr>
        <w:t>金额单位：人民币元</w:t>
      </w:r>
    </w:p>
    <w:tbl>
      <w:tblPr>
        <w:tblStyle w:val="54"/>
        <w:tblW w:w="0" w:type="auto"/>
        <w:tblInd w:w="0" w:type="dxa"/>
        <w:tblLayout w:type="fixed"/>
        <w:tblCellMar>
          <w:top w:w="0" w:type="dxa"/>
          <w:left w:w="108" w:type="dxa"/>
          <w:bottom w:w="0" w:type="dxa"/>
          <w:right w:w="108" w:type="dxa"/>
        </w:tblCellMar>
      </w:tblPr>
      <w:tblGrid>
        <w:gridCol w:w="2405"/>
        <w:gridCol w:w="1845"/>
        <w:gridCol w:w="2670"/>
        <w:gridCol w:w="1938"/>
      </w:tblGrid>
      <w:tr>
        <w:tblPrEx>
          <w:tblCellMar>
            <w:top w:w="0" w:type="dxa"/>
            <w:left w:w="108" w:type="dxa"/>
            <w:bottom w:w="0" w:type="dxa"/>
            <w:right w:w="108" w:type="dxa"/>
          </w:tblCellMar>
        </w:tblPrEx>
        <w:trPr>
          <w:trHeight w:val="320" w:hRule="atLeast"/>
          <w:tblHeader/>
        </w:trPr>
        <w:tc>
          <w:tcPr>
            <w:tcW w:w="24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资 产</w:t>
            </w:r>
          </w:p>
        </w:tc>
        <w:tc>
          <w:tcPr>
            <w:tcW w:w="1845"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账面价值</w:t>
            </w:r>
          </w:p>
        </w:tc>
        <w:tc>
          <w:tcPr>
            <w:tcW w:w="267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负债及所有者权益</w:t>
            </w:r>
          </w:p>
        </w:tc>
        <w:tc>
          <w:tcPr>
            <w:tcW w:w="1938"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账面价值</w:t>
            </w: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流动资产：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color w:val="000000"/>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流动负债：</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color w:val="000000"/>
                <w:sz w:val="21"/>
                <w:szCs w:val="21"/>
              </w:rPr>
            </w:pPr>
            <w:r>
              <w:rPr>
                <w:rFonts w:hint="eastAsia" w:ascii="仿宋" w:hAnsi="仿宋" w:eastAsia="仿宋" w:cs="仿宋"/>
                <w:color w:val="000000"/>
                <w:sz w:val="21"/>
                <w:szCs w:val="21"/>
              </w:rPr>
              <w:t>　</w:t>
            </w: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货币资金</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短期借款</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color w:val="000000"/>
                <w:sz w:val="21"/>
                <w:szCs w:val="21"/>
              </w:rPr>
            </w:pPr>
            <w:r>
              <w:rPr>
                <w:rFonts w:hint="eastAsia" w:ascii="仿宋" w:hAnsi="仿宋" w:eastAsia="仿宋" w:cs="仿宋"/>
                <w:color w:val="000000"/>
                <w:sz w:val="21"/>
                <w:szCs w:val="21"/>
              </w:rPr>
              <w:t>　</w:t>
            </w: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交易性金融资产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交易性金融负债</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color w:val="000000"/>
                <w:sz w:val="21"/>
                <w:szCs w:val="21"/>
              </w:rPr>
            </w:pPr>
            <w:r>
              <w:rPr>
                <w:rFonts w:hint="eastAsia" w:ascii="仿宋" w:hAnsi="仿宋" w:eastAsia="仿宋" w:cs="仿宋"/>
                <w:color w:val="000000"/>
                <w:sz w:val="21"/>
                <w:szCs w:val="21"/>
              </w:rPr>
              <w:t>　</w:t>
            </w: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应收票据</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应付票据</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color w:val="000000"/>
                <w:sz w:val="21"/>
                <w:szCs w:val="21"/>
              </w:rPr>
            </w:pPr>
            <w:r>
              <w:rPr>
                <w:rFonts w:hint="eastAsia" w:ascii="仿宋" w:hAnsi="仿宋" w:eastAsia="仿宋" w:cs="仿宋"/>
                <w:color w:val="000000"/>
                <w:sz w:val="21"/>
                <w:szCs w:val="21"/>
              </w:rPr>
              <w:t>　</w:t>
            </w: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应收账款</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应付账款</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预付款项</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预收款项</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应收利息</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应付职工薪酬</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应收股利</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应交税费</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r>
              <w:rPr>
                <w:rFonts w:hint="eastAsia" w:ascii="仿宋" w:hAnsi="仿宋" w:eastAsia="仿宋" w:cs="仿宋"/>
                <w:sz w:val="21"/>
                <w:szCs w:val="21"/>
              </w:rPr>
              <w:t>14,490.23</w:t>
            </w: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其他应收款</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,183,089.39</w:t>
            </w: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应付利息</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存货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color w:val="000000"/>
                <w:sz w:val="21"/>
                <w:szCs w:val="21"/>
              </w:rPr>
            </w:pPr>
            <w:r>
              <w:rPr>
                <w:rFonts w:hint="eastAsia" w:ascii="仿宋" w:hAnsi="仿宋" w:eastAsia="仿宋" w:cs="仿宋"/>
                <w:color w:val="000000"/>
                <w:sz w:val="21"/>
                <w:szCs w:val="21"/>
              </w:rPr>
              <w:t xml:space="preserve"> </w:t>
            </w: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应付股利</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一年内到期的非流动资产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color w:val="000000"/>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其他应付款</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其他流动资产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color w:val="000000"/>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一年内到期的非流动负债</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color w:val="000000"/>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color w:val="000000"/>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其他流动负债</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color w:val="000000"/>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 w:val="21"/>
                <w:szCs w:val="21"/>
              </w:rPr>
            </w:pPr>
            <w:r>
              <w:rPr>
                <w:rFonts w:hint="eastAsia" w:ascii="仿宋" w:hAnsi="仿宋" w:eastAsia="仿宋" w:cs="仿宋"/>
                <w:b/>
                <w:bCs/>
                <w:color w:val="000000"/>
                <w:sz w:val="21"/>
                <w:szCs w:val="21"/>
              </w:rPr>
              <w:t>流动资产合计</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b/>
                <w:bCs/>
                <w:sz w:val="21"/>
                <w:szCs w:val="21"/>
              </w:rPr>
            </w:pPr>
            <w:r>
              <w:rPr>
                <w:rFonts w:hint="eastAsia" w:ascii="仿宋" w:hAnsi="仿宋" w:eastAsia="仿宋" w:cs="仿宋"/>
                <w:b/>
                <w:bCs/>
                <w:sz w:val="21"/>
                <w:szCs w:val="21"/>
              </w:rPr>
              <w:t>1</w:t>
            </w:r>
            <w:r>
              <w:rPr>
                <w:rFonts w:ascii="仿宋" w:hAnsi="仿宋" w:eastAsia="仿宋" w:cs="仿宋"/>
                <w:b/>
                <w:bCs/>
                <w:sz w:val="21"/>
                <w:szCs w:val="21"/>
              </w:rPr>
              <w:t>,183,089.39</w:t>
            </w:r>
          </w:p>
        </w:tc>
        <w:tc>
          <w:tcPr>
            <w:tcW w:w="2670" w:type="dxa"/>
            <w:tcBorders>
              <w:top w:val="nil"/>
              <w:left w:val="nil"/>
              <w:bottom w:val="single" w:color="auto" w:sz="4" w:space="0"/>
              <w:right w:val="single" w:color="auto" w:sz="4" w:space="0"/>
            </w:tcBorders>
            <w:vAlign w:val="center"/>
          </w:tcPr>
          <w:p>
            <w:pPr>
              <w:jc w:val="center"/>
              <w:rPr>
                <w:rFonts w:ascii="仿宋" w:hAnsi="仿宋" w:eastAsia="仿宋" w:cs="仿宋"/>
                <w:b/>
                <w:bCs/>
                <w:color w:val="000000"/>
                <w:sz w:val="21"/>
                <w:szCs w:val="21"/>
              </w:rPr>
            </w:pPr>
            <w:r>
              <w:rPr>
                <w:rFonts w:hint="eastAsia" w:ascii="仿宋" w:hAnsi="仿宋" w:eastAsia="仿宋" w:cs="仿宋"/>
                <w:b/>
                <w:bCs/>
                <w:color w:val="000000"/>
                <w:sz w:val="21"/>
                <w:szCs w:val="21"/>
              </w:rPr>
              <w:t>流动负债合计</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b/>
                <w:sz w:val="21"/>
                <w:szCs w:val="21"/>
              </w:rPr>
            </w:pPr>
            <w:r>
              <w:rPr>
                <w:rFonts w:hint="eastAsia" w:ascii="仿宋" w:hAnsi="仿宋" w:eastAsia="仿宋" w:cs="仿宋"/>
                <w:b/>
                <w:sz w:val="21"/>
                <w:szCs w:val="21"/>
              </w:rPr>
              <w:t>14,490.23</w:t>
            </w: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非流动资产：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非流动负债：</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可供出售金融资产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长期借款</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持有至到期投资</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应付债券</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长期应收款</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长期应付款</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长期股权投资</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专项应付款</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投资性房地产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预计负债</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固定资产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递延收益</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在建工程</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r>
              <w:rPr>
                <w:rFonts w:hint="eastAsia" w:ascii="仿宋" w:hAnsi="仿宋" w:eastAsia="仿宋" w:cs="仿宋"/>
                <w:sz w:val="21"/>
                <w:szCs w:val="21"/>
              </w:rPr>
              <w:t>989,039.00</w:t>
            </w: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递延所得税负债</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工程物资</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其他非流动负债</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固定资产清理</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jc w:val="center"/>
              <w:rPr>
                <w:rFonts w:ascii="仿宋" w:hAnsi="仿宋" w:eastAsia="仿宋" w:cs="仿宋"/>
                <w:b/>
                <w:bCs/>
                <w:color w:val="000000"/>
                <w:sz w:val="21"/>
                <w:szCs w:val="21"/>
              </w:rPr>
            </w:pPr>
            <w:r>
              <w:rPr>
                <w:rFonts w:hint="eastAsia" w:ascii="仿宋" w:hAnsi="仿宋" w:eastAsia="仿宋" w:cs="仿宋"/>
                <w:b/>
                <w:bCs/>
                <w:color w:val="000000"/>
                <w:sz w:val="21"/>
                <w:szCs w:val="21"/>
              </w:rPr>
              <w:t>非流动负债合计</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b/>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生产性生物资产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jc w:val="center"/>
              <w:rPr>
                <w:rFonts w:ascii="仿宋" w:hAnsi="仿宋" w:eastAsia="仿宋" w:cs="仿宋"/>
                <w:b/>
                <w:bCs/>
                <w:color w:val="000000"/>
                <w:sz w:val="21"/>
                <w:szCs w:val="21"/>
              </w:rPr>
            </w:pPr>
            <w:r>
              <w:rPr>
                <w:rFonts w:hint="eastAsia" w:ascii="仿宋" w:hAnsi="仿宋" w:eastAsia="仿宋" w:cs="仿宋"/>
                <w:b/>
                <w:bCs/>
                <w:color w:val="000000"/>
                <w:sz w:val="21"/>
                <w:szCs w:val="21"/>
              </w:rPr>
              <w:t>负 债 合 计</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b/>
                <w:sz w:val="21"/>
                <w:szCs w:val="21"/>
              </w:rPr>
            </w:pPr>
            <w:r>
              <w:rPr>
                <w:rFonts w:hint="eastAsia" w:ascii="仿宋" w:hAnsi="仿宋" w:eastAsia="仿宋" w:cs="仿宋"/>
                <w:b/>
                <w:sz w:val="21"/>
                <w:szCs w:val="21"/>
              </w:rPr>
              <w:t>14,490.23</w:t>
            </w: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油气资产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所有者权益：</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color w:val="000000"/>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无形资产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r>
              <w:rPr>
                <w:rFonts w:hint="eastAsia" w:ascii="仿宋" w:hAnsi="仿宋" w:eastAsia="仿宋" w:cs="仿宋"/>
                <w:sz w:val="21"/>
                <w:szCs w:val="21"/>
              </w:rPr>
              <w:t>10,688,281.49</w:t>
            </w: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实收资本</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r>
              <w:rPr>
                <w:rFonts w:hint="eastAsia" w:ascii="仿宋" w:hAnsi="仿宋" w:eastAsia="仿宋" w:cs="仿宋"/>
                <w:sz w:val="21"/>
                <w:szCs w:val="21"/>
              </w:rPr>
              <w:t>12,100,000.00</w:t>
            </w: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开发支出</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资本公积</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商誉</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减:库存股</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长期待摊费用</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盈余公积</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递延所得税资产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未分配利润</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r>
              <w:rPr>
                <w:rFonts w:ascii="仿宋" w:hAnsi="仿宋" w:eastAsia="仿宋" w:cs="仿宋"/>
                <w:sz w:val="21"/>
                <w:szCs w:val="21"/>
              </w:rPr>
              <w:t>745,919.65</w:t>
            </w: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xml:space="preserve"> 其他非流动资产</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p>
        </w:tc>
        <w:tc>
          <w:tcPr>
            <w:tcW w:w="2670" w:type="dxa"/>
            <w:tcBorders>
              <w:top w:val="nil"/>
              <w:left w:val="nil"/>
              <w:bottom w:val="single" w:color="auto" w:sz="4" w:space="0"/>
              <w:right w:val="single" w:color="auto" w:sz="4" w:space="0"/>
            </w:tcBorders>
            <w:vAlign w:val="center"/>
          </w:tcPr>
          <w:p>
            <w:pPr>
              <w:rPr>
                <w:rFonts w:ascii="仿宋" w:hAnsi="仿宋" w:eastAsia="仿宋" w:cs="仿宋"/>
                <w:color w:val="000000"/>
                <w:sz w:val="21"/>
                <w:szCs w:val="21"/>
              </w:rPr>
            </w:pPr>
            <w:r>
              <w:rPr>
                <w:rFonts w:hint="eastAsia" w:ascii="仿宋" w:hAnsi="仿宋" w:eastAsia="仿宋" w:cs="仿宋"/>
                <w:color w:val="000000"/>
                <w:sz w:val="21"/>
                <w:szCs w:val="21"/>
              </w:rPr>
              <w:t>　</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sz w:val="21"/>
                <w:szCs w:val="21"/>
              </w:rPr>
            </w:pPr>
            <w:r>
              <w:rPr>
                <w:rFonts w:hint="eastAsia" w:ascii="仿宋" w:hAnsi="仿宋" w:eastAsia="仿宋" w:cs="仿宋"/>
                <w:sz w:val="21"/>
                <w:szCs w:val="21"/>
              </w:rPr>
              <w:t xml:space="preserve"> </w:t>
            </w: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 w:val="21"/>
                <w:szCs w:val="21"/>
              </w:rPr>
            </w:pPr>
            <w:r>
              <w:rPr>
                <w:rFonts w:hint="eastAsia" w:ascii="仿宋" w:hAnsi="仿宋" w:eastAsia="仿宋" w:cs="仿宋"/>
                <w:b/>
                <w:bCs/>
                <w:color w:val="000000"/>
                <w:sz w:val="21"/>
                <w:szCs w:val="21"/>
              </w:rPr>
              <w:t>非流动资产合计</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b/>
                <w:sz w:val="21"/>
                <w:szCs w:val="21"/>
              </w:rPr>
            </w:pPr>
            <w:r>
              <w:rPr>
                <w:rFonts w:hint="eastAsia" w:ascii="仿宋" w:hAnsi="仿宋" w:eastAsia="仿宋" w:cs="仿宋"/>
                <w:b/>
                <w:sz w:val="21"/>
                <w:szCs w:val="21"/>
              </w:rPr>
              <w:t xml:space="preserve">11,677,320.49  </w:t>
            </w:r>
          </w:p>
        </w:tc>
        <w:tc>
          <w:tcPr>
            <w:tcW w:w="2670" w:type="dxa"/>
            <w:tcBorders>
              <w:top w:val="nil"/>
              <w:left w:val="nil"/>
              <w:bottom w:val="single" w:color="auto" w:sz="4" w:space="0"/>
              <w:right w:val="single" w:color="auto" w:sz="4" w:space="0"/>
            </w:tcBorders>
            <w:vAlign w:val="center"/>
          </w:tcPr>
          <w:p>
            <w:pPr>
              <w:jc w:val="center"/>
              <w:rPr>
                <w:rFonts w:ascii="仿宋" w:hAnsi="仿宋" w:eastAsia="仿宋" w:cs="仿宋"/>
                <w:b/>
                <w:bCs/>
                <w:color w:val="000000"/>
                <w:sz w:val="21"/>
                <w:szCs w:val="21"/>
              </w:rPr>
            </w:pPr>
            <w:r>
              <w:rPr>
                <w:rFonts w:hint="eastAsia" w:ascii="仿宋" w:hAnsi="仿宋" w:eastAsia="仿宋" w:cs="仿宋"/>
                <w:b/>
                <w:bCs/>
                <w:color w:val="000000"/>
                <w:sz w:val="21"/>
                <w:szCs w:val="21"/>
              </w:rPr>
              <w:t>所有者权益合计</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b/>
                <w:sz w:val="21"/>
                <w:szCs w:val="21"/>
              </w:rPr>
            </w:pPr>
            <w:r>
              <w:rPr>
                <w:rFonts w:ascii="仿宋" w:hAnsi="仿宋" w:eastAsia="仿宋" w:cs="仿宋"/>
                <w:b/>
                <w:sz w:val="21"/>
                <w:szCs w:val="21"/>
              </w:rPr>
              <w:t>12,845,919.65</w:t>
            </w:r>
          </w:p>
        </w:tc>
      </w:tr>
      <w:tr>
        <w:tblPrEx>
          <w:tblCellMar>
            <w:top w:w="0" w:type="dxa"/>
            <w:left w:w="108" w:type="dxa"/>
            <w:bottom w:w="0" w:type="dxa"/>
            <w:right w:w="108" w:type="dxa"/>
          </w:tblCellMar>
        </w:tblPrEx>
        <w:trPr>
          <w:trHeight w:val="320" w:hRule="atLeast"/>
        </w:trPr>
        <w:tc>
          <w:tcPr>
            <w:tcW w:w="2405"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 w:val="21"/>
                <w:szCs w:val="21"/>
              </w:rPr>
            </w:pPr>
            <w:r>
              <w:rPr>
                <w:rFonts w:hint="eastAsia" w:ascii="仿宋" w:hAnsi="仿宋" w:eastAsia="仿宋" w:cs="仿宋"/>
                <w:b/>
                <w:bCs/>
                <w:color w:val="000000"/>
                <w:sz w:val="21"/>
                <w:szCs w:val="21"/>
              </w:rPr>
              <w:t>资 产 总 计</w:t>
            </w:r>
          </w:p>
        </w:tc>
        <w:tc>
          <w:tcPr>
            <w:tcW w:w="1845" w:type="dxa"/>
            <w:tcBorders>
              <w:top w:val="nil"/>
              <w:left w:val="nil"/>
              <w:bottom w:val="single" w:color="auto" w:sz="4" w:space="0"/>
              <w:right w:val="single" w:color="auto" w:sz="4" w:space="0"/>
            </w:tcBorders>
            <w:vAlign w:val="center"/>
          </w:tcPr>
          <w:p>
            <w:pPr>
              <w:jc w:val="right"/>
              <w:rPr>
                <w:rFonts w:ascii="仿宋" w:hAnsi="仿宋" w:eastAsia="仿宋" w:cs="仿宋"/>
                <w:b/>
                <w:sz w:val="21"/>
                <w:szCs w:val="21"/>
              </w:rPr>
            </w:pPr>
            <w:r>
              <w:rPr>
                <w:rFonts w:ascii="仿宋" w:hAnsi="仿宋" w:eastAsia="仿宋" w:cs="仿宋"/>
                <w:b/>
                <w:sz w:val="21"/>
                <w:szCs w:val="21"/>
              </w:rPr>
              <w:t>12,860,409.88</w:t>
            </w:r>
          </w:p>
        </w:tc>
        <w:tc>
          <w:tcPr>
            <w:tcW w:w="2670" w:type="dxa"/>
            <w:tcBorders>
              <w:top w:val="nil"/>
              <w:left w:val="nil"/>
              <w:bottom w:val="single" w:color="auto" w:sz="4" w:space="0"/>
              <w:right w:val="single" w:color="auto" w:sz="4" w:space="0"/>
            </w:tcBorders>
            <w:vAlign w:val="center"/>
          </w:tcPr>
          <w:p>
            <w:pPr>
              <w:jc w:val="both"/>
              <w:rPr>
                <w:rFonts w:ascii="仿宋" w:hAnsi="仿宋" w:eastAsia="仿宋" w:cs="仿宋"/>
                <w:b/>
                <w:bCs/>
                <w:color w:val="000000"/>
                <w:sz w:val="21"/>
                <w:szCs w:val="21"/>
              </w:rPr>
            </w:pPr>
            <w:r>
              <w:rPr>
                <w:rFonts w:hint="eastAsia" w:ascii="仿宋" w:hAnsi="仿宋" w:eastAsia="仿宋" w:cs="仿宋"/>
                <w:b/>
                <w:bCs/>
                <w:color w:val="000000"/>
                <w:sz w:val="21"/>
                <w:szCs w:val="21"/>
              </w:rPr>
              <w:t>负债及所有者权益合计</w:t>
            </w:r>
          </w:p>
        </w:tc>
        <w:tc>
          <w:tcPr>
            <w:tcW w:w="1938" w:type="dxa"/>
            <w:tcBorders>
              <w:top w:val="nil"/>
              <w:left w:val="nil"/>
              <w:bottom w:val="single" w:color="auto" w:sz="4" w:space="0"/>
              <w:right w:val="single" w:color="auto" w:sz="4" w:space="0"/>
            </w:tcBorders>
            <w:vAlign w:val="center"/>
          </w:tcPr>
          <w:p>
            <w:pPr>
              <w:jc w:val="right"/>
              <w:rPr>
                <w:rFonts w:ascii="仿宋" w:hAnsi="仿宋" w:eastAsia="仿宋" w:cs="仿宋"/>
                <w:b/>
                <w:sz w:val="21"/>
                <w:szCs w:val="21"/>
              </w:rPr>
            </w:pPr>
            <w:r>
              <w:rPr>
                <w:rFonts w:ascii="仿宋" w:hAnsi="仿宋" w:eastAsia="仿宋" w:cs="仿宋"/>
                <w:b/>
                <w:sz w:val="21"/>
                <w:szCs w:val="21"/>
              </w:rPr>
              <w:t>12,860,409.88</w:t>
            </w:r>
          </w:p>
        </w:tc>
      </w:tr>
    </w:tbl>
    <w:p>
      <w:pPr>
        <w:keepNext w:val="0"/>
        <w:keepLines w:val="0"/>
        <w:pageBreakBefore w:val="0"/>
        <w:widowControl w:val="0"/>
        <w:tabs>
          <w:tab w:val="left" w:pos="2516"/>
        </w:tabs>
        <w:kinsoku/>
        <w:wordWrap/>
        <w:overflowPunct/>
        <w:topLinePunct w:val="0"/>
        <w:autoSpaceDE/>
        <w:autoSpaceDN/>
        <w:bidi w:val="0"/>
        <w:adjustRightInd/>
        <w:snapToGrid/>
        <w:spacing w:before="157" w:beforeLines="50"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上述资产负债表数据为江苏焦点粮食储运有限公司于2020年06月30日的财务报表,并经中兴华会计师事务所（特殊普通合伙）审计出具的“中兴华专字（2020）第020198号”审计报告的附表。</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textAlignment w:val="auto"/>
        <w:rPr>
          <w:rFonts w:ascii="仿宋" w:hAnsi="仿宋" w:eastAsia="仿宋" w:cs="仿宋"/>
          <w:b/>
          <w:bCs/>
          <w:sz w:val="28"/>
          <w:szCs w:val="28"/>
        </w:rPr>
      </w:pPr>
      <w:r>
        <w:rPr>
          <w:rFonts w:hint="eastAsia" w:ascii="仿宋" w:hAnsi="仿宋" w:eastAsia="仿宋" w:cs="仿宋"/>
          <w:b/>
          <w:bCs/>
          <w:sz w:val="28"/>
          <w:szCs w:val="28"/>
        </w:rPr>
        <w:t>四、关于评估基准日的说明</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为保证资产评估的及时性和合理性，确定2020年6月30日为评估基准日。</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textAlignment w:val="auto"/>
        <w:rPr>
          <w:rFonts w:ascii="仿宋" w:hAnsi="仿宋" w:eastAsia="仿宋" w:cs="仿宋"/>
          <w:b/>
          <w:bCs/>
          <w:sz w:val="28"/>
          <w:szCs w:val="28"/>
        </w:rPr>
      </w:pPr>
      <w:r>
        <w:rPr>
          <w:rFonts w:hint="eastAsia" w:ascii="仿宋" w:hAnsi="仿宋" w:eastAsia="仿宋" w:cs="仿宋"/>
          <w:b/>
          <w:bCs/>
          <w:sz w:val="28"/>
          <w:szCs w:val="28"/>
        </w:rPr>
        <w:t>五、可能影响评估工作的重大事项说明</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1、无形资产的土地权证附记中记载该证有效期至2020年7月2日，如果在有效期未办理相关手续，</w:t>
      </w:r>
      <w:bookmarkStart w:id="22" w:name="_Hlk46083662"/>
      <w:r>
        <w:rPr>
          <w:rFonts w:hint="eastAsia" w:ascii="仿宋" w:hAnsi="仿宋" w:eastAsia="仿宋" w:cs="仿宋"/>
          <w:sz w:val="28"/>
          <w:szCs w:val="28"/>
        </w:rPr>
        <w:t>逾期可能对本次评估结果产生影响。</w:t>
      </w:r>
      <w:bookmarkEnd w:id="22"/>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2、土地出让合同约定，该宗地应在2</w:t>
      </w:r>
      <w:r>
        <w:rPr>
          <w:rFonts w:ascii="仿宋" w:hAnsi="仿宋" w:eastAsia="仿宋" w:cs="仿宋"/>
          <w:sz w:val="28"/>
          <w:szCs w:val="28"/>
        </w:rPr>
        <w:t>018</w:t>
      </w:r>
      <w:r>
        <w:rPr>
          <w:rFonts w:hint="eastAsia" w:ascii="仿宋" w:hAnsi="仿宋" w:eastAsia="仿宋" w:cs="仿宋"/>
          <w:sz w:val="28"/>
          <w:szCs w:val="28"/>
        </w:rPr>
        <w:t>年7月2日前开工，2</w:t>
      </w:r>
      <w:r>
        <w:rPr>
          <w:rFonts w:ascii="仿宋" w:hAnsi="仿宋" w:eastAsia="仿宋" w:cs="仿宋"/>
          <w:sz w:val="28"/>
          <w:szCs w:val="28"/>
        </w:rPr>
        <w:t>020</w:t>
      </w:r>
      <w:r>
        <w:rPr>
          <w:rFonts w:hint="eastAsia" w:ascii="仿宋" w:hAnsi="仿宋" w:eastAsia="仿宋" w:cs="仿宋"/>
          <w:sz w:val="28"/>
          <w:szCs w:val="28"/>
        </w:rPr>
        <w:t>年7月2日前竣工，逾期可能对本次评估结果产生影响。</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textAlignment w:val="auto"/>
        <w:rPr>
          <w:rFonts w:ascii="仿宋" w:hAnsi="仿宋" w:eastAsia="仿宋" w:cs="仿宋"/>
          <w:b/>
          <w:bCs/>
          <w:sz w:val="28"/>
          <w:szCs w:val="28"/>
        </w:rPr>
      </w:pPr>
      <w:r>
        <w:rPr>
          <w:rFonts w:hint="eastAsia" w:ascii="仿宋" w:hAnsi="仿宋" w:eastAsia="仿宋" w:cs="仿宋"/>
          <w:b/>
          <w:bCs/>
          <w:sz w:val="28"/>
          <w:szCs w:val="28"/>
        </w:rPr>
        <w:t>六、资产清查情况说明</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
          <w:bCs/>
          <w:sz w:val="28"/>
          <w:szCs w:val="28"/>
        </w:rPr>
      </w:pPr>
      <w:r>
        <w:rPr>
          <w:rFonts w:hint="eastAsia" w:ascii="仿宋" w:hAnsi="仿宋" w:eastAsia="仿宋" w:cs="仿宋"/>
          <w:b/>
          <w:bCs/>
          <w:sz w:val="28"/>
          <w:szCs w:val="28"/>
        </w:rPr>
        <w:t>（一）清查的组织工作</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公司组织成立了资产清查小组，制定了内含各类资产清查办法和验收标准的实施方案，于2020年07月04日至2020年07月</w:t>
      </w:r>
      <w:r>
        <w:rPr>
          <w:rFonts w:ascii="仿宋" w:hAnsi="仿宋" w:eastAsia="仿宋" w:cs="仿宋"/>
          <w:sz w:val="28"/>
          <w:szCs w:val="28"/>
        </w:rPr>
        <w:t>05</w:t>
      </w:r>
      <w:r>
        <w:rPr>
          <w:rFonts w:hint="eastAsia" w:ascii="仿宋" w:hAnsi="仿宋" w:eastAsia="仿宋" w:cs="仿宋"/>
          <w:sz w:val="28"/>
          <w:szCs w:val="28"/>
        </w:rPr>
        <w:t>日进行了全面的资产清查工作。</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
          <w:bCs/>
          <w:sz w:val="28"/>
          <w:szCs w:val="28"/>
        </w:rPr>
      </w:pPr>
      <w:r>
        <w:rPr>
          <w:rFonts w:hint="eastAsia" w:ascii="仿宋" w:hAnsi="仿宋" w:eastAsia="仿宋" w:cs="仿宋"/>
          <w:b/>
          <w:bCs/>
          <w:sz w:val="28"/>
          <w:szCs w:val="28"/>
        </w:rPr>
        <w:t>（二）清查范围</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本次资产清查的范围为江苏焦点粮食储运有限公司于2020年06月30日的全部资产和负债。账面资产总额为</w:t>
      </w:r>
      <w:r>
        <w:rPr>
          <w:rFonts w:ascii="仿宋" w:hAnsi="仿宋" w:eastAsia="仿宋" w:cs="仿宋"/>
          <w:sz w:val="28"/>
          <w:szCs w:val="28"/>
        </w:rPr>
        <w:t>12,860,409.88</w:t>
      </w:r>
      <w:r>
        <w:rPr>
          <w:rFonts w:hint="eastAsia" w:ascii="仿宋" w:hAnsi="仿宋" w:eastAsia="仿宋" w:cs="仿宋"/>
          <w:sz w:val="28"/>
          <w:szCs w:val="28"/>
        </w:rPr>
        <w:t>元、账面负债总额为14,490.23元、账面净资产总额</w:t>
      </w:r>
      <w:r>
        <w:rPr>
          <w:rFonts w:ascii="仿宋" w:hAnsi="仿宋" w:eastAsia="仿宋" w:cs="仿宋"/>
          <w:sz w:val="28"/>
          <w:szCs w:val="28"/>
        </w:rPr>
        <w:t>12,845,919.65</w:t>
      </w:r>
      <w:r>
        <w:rPr>
          <w:rFonts w:hint="eastAsia" w:ascii="仿宋" w:hAnsi="仿宋" w:eastAsia="仿宋" w:cs="仿宋"/>
          <w:sz w:val="28"/>
          <w:szCs w:val="28"/>
        </w:rPr>
        <w:t>元。</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
          <w:bCs/>
          <w:sz w:val="28"/>
          <w:szCs w:val="28"/>
        </w:rPr>
      </w:pPr>
      <w:r>
        <w:rPr>
          <w:rFonts w:hint="eastAsia" w:ascii="仿宋" w:hAnsi="仿宋" w:eastAsia="仿宋" w:cs="仿宋"/>
          <w:b/>
          <w:bCs/>
          <w:sz w:val="28"/>
          <w:szCs w:val="28"/>
        </w:rPr>
        <w:t>（三）资产与负债分布及特点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纳入评估范围的主要资产为</w:t>
      </w:r>
      <w:bookmarkStart w:id="23" w:name="_Hlk46433483"/>
      <w:r>
        <w:rPr>
          <w:rFonts w:hint="eastAsia" w:ascii="仿宋" w:hAnsi="仿宋" w:eastAsia="仿宋" w:cs="仿宋"/>
          <w:sz w:val="28"/>
          <w:szCs w:val="28"/>
        </w:rPr>
        <w:t>其他应收款</w:t>
      </w:r>
      <w:bookmarkEnd w:id="23"/>
      <w:r>
        <w:rPr>
          <w:rFonts w:hint="eastAsia" w:ascii="仿宋" w:hAnsi="仿宋" w:eastAsia="仿宋" w:cs="仿宋"/>
          <w:sz w:val="28"/>
          <w:szCs w:val="28"/>
        </w:rPr>
        <w:t>、在建工程及无形资产。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其中：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bookmarkStart w:id="24" w:name="_Hlk46435103"/>
      <w:r>
        <w:rPr>
          <w:rFonts w:hint="eastAsia" w:ascii="仿宋" w:hAnsi="仿宋" w:eastAsia="仿宋" w:cs="仿宋"/>
          <w:sz w:val="28"/>
          <w:szCs w:val="28"/>
        </w:rPr>
        <w:t>其他应收款</w:t>
      </w:r>
      <w:bookmarkEnd w:id="24"/>
      <w:r>
        <w:rPr>
          <w:rFonts w:hint="eastAsia" w:ascii="仿宋" w:hAnsi="仿宋" w:eastAsia="仿宋" w:cs="仿宋"/>
          <w:sz w:val="28"/>
          <w:szCs w:val="28"/>
        </w:rPr>
        <w:t>:</w:t>
      </w:r>
      <w:bookmarkStart w:id="25" w:name="_Hlk46435212"/>
      <w:r>
        <w:rPr>
          <w:rFonts w:hint="eastAsia" w:ascii="仿宋" w:hAnsi="仿宋" w:eastAsia="仿宋" w:cs="仿宋"/>
          <w:sz w:val="28"/>
          <w:szCs w:val="28"/>
        </w:rPr>
        <w:t>截止2020年06月30日,其他应收款为江苏焦点农业科技有限公司的欠款1</w:t>
      </w:r>
      <w:r>
        <w:rPr>
          <w:rFonts w:ascii="仿宋" w:hAnsi="仿宋" w:eastAsia="仿宋" w:cs="仿宋"/>
          <w:sz w:val="28"/>
          <w:szCs w:val="28"/>
        </w:rPr>
        <w:t>,183,089.39</w:t>
      </w:r>
      <w:r>
        <w:rPr>
          <w:rFonts w:hint="eastAsia" w:ascii="仿宋" w:hAnsi="仿宋" w:eastAsia="仿宋" w:cs="仿宋"/>
          <w:sz w:val="28"/>
          <w:szCs w:val="28"/>
        </w:rPr>
        <w:t>元。</w:t>
      </w:r>
      <w:bookmarkEnd w:id="25"/>
    </w:p>
    <w:p>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在建工程：</w:t>
      </w:r>
      <w:bookmarkStart w:id="26" w:name="_Hlk46435093"/>
      <w:r>
        <w:rPr>
          <w:rFonts w:hint="eastAsia" w:ascii="仿宋" w:hAnsi="仿宋" w:eastAsia="仿宋" w:cs="仿宋"/>
          <w:sz w:val="28"/>
          <w:szCs w:val="28"/>
        </w:rPr>
        <w:t>截止2020年06月30日</w:t>
      </w:r>
      <w:bookmarkEnd w:id="26"/>
      <w:r>
        <w:rPr>
          <w:rFonts w:hint="eastAsia" w:ascii="仿宋" w:hAnsi="仿宋" w:eastAsia="仿宋" w:cs="仿宋"/>
          <w:sz w:val="28"/>
          <w:szCs w:val="28"/>
        </w:rPr>
        <w:t>，在建工程为江苏焦点粮食仓储物流项目，具体账面价值为：</w:t>
      </w:r>
    </w:p>
    <w:tbl>
      <w:tblPr>
        <w:tblStyle w:val="55"/>
        <w:tblW w:w="7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7"/>
        <w:gridCol w:w="2625"/>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2625"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账面金额（元）</w:t>
            </w:r>
          </w:p>
        </w:tc>
        <w:tc>
          <w:tcPr>
            <w:tcW w:w="2065" w:type="dxa"/>
          </w:tcPr>
          <w:p>
            <w:pPr>
              <w:spacing w:before="156" w:beforeLines="50"/>
              <w:jc w:val="center"/>
              <w:rPr>
                <w:rFonts w:ascii="仿宋" w:hAnsi="仿宋" w:eastAsia="仿宋" w:cs="仿宋"/>
                <w:b/>
                <w:bCs/>
                <w:sz w:val="21"/>
                <w:szCs w:val="21"/>
                <w:lang w:bidi="en-US"/>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237"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江苏焦点粮食仓储物流项目</w:t>
            </w:r>
          </w:p>
        </w:tc>
        <w:tc>
          <w:tcPr>
            <w:tcW w:w="2625"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989,039.00</w:t>
            </w:r>
          </w:p>
        </w:tc>
        <w:tc>
          <w:tcPr>
            <w:tcW w:w="2065" w:type="dxa"/>
          </w:tcPr>
          <w:p>
            <w:pPr>
              <w:spacing w:before="156" w:beforeLines="50"/>
              <w:jc w:val="center"/>
              <w:rPr>
                <w:rFonts w:ascii="仿宋" w:hAnsi="仿宋" w:eastAsia="仿宋" w:cs="仿宋"/>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合计</w:t>
            </w:r>
          </w:p>
        </w:tc>
        <w:tc>
          <w:tcPr>
            <w:tcW w:w="2625"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989,039.00</w:t>
            </w:r>
          </w:p>
        </w:tc>
        <w:tc>
          <w:tcPr>
            <w:tcW w:w="2065" w:type="dxa"/>
          </w:tcPr>
          <w:p>
            <w:pPr>
              <w:spacing w:before="156" w:beforeLines="50"/>
              <w:jc w:val="center"/>
              <w:rPr>
                <w:rFonts w:ascii="仿宋" w:hAnsi="仿宋" w:eastAsia="仿宋" w:cs="仿宋"/>
                <w:sz w:val="21"/>
                <w:szCs w:val="21"/>
                <w:lang w:bidi="en-US"/>
              </w:rPr>
            </w:pP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无形资产：截止2020年06月30日，无形资产为土地</w:t>
      </w:r>
    </w:p>
    <w:tbl>
      <w:tblPr>
        <w:tblStyle w:val="55"/>
        <w:tblW w:w="7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3"/>
        <w:gridCol w:w="261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2610"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账面金额（元）</w:t>
            </w:r>
          </w:p>
        </w:tc>
        <w:tc>
          <w:tcPr>
            <w:tcW w:w="2046" w:type="dxa"/>
          </w:tcPr>
          <w:p>
            <w:pPr>
              <w:spacing w:before="156" w:beforeLines="50"/>
              <w:jc w:val="center"/>
              <w:rPr>
                <w:rFonts w:ascii="仿宋" w:hAnsi="仿宋" w:eastAsia="仿宋" w:cs="仿宋"/>
                <w:b/>
                <w:bCs/>
                <w:sz w:val="21"/>
                <w:szCs w:val="21"/>
                <w:lang w:bidi="en-US"/>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tcPr>
          <w:p>
            <w:pPr>
              <w:spacing w:before="156" w:beforeLines="50"/>
              <w:jc w:val="center"/>
              <w:rPr>
                <w:rFonts w:ascii="仿宋" w:hAnsi="仿宋" w:eastAsia="仿宋" w:cs="仿宋"/>
                <w:sz w:val="21"/>
                <w:szCs w:val="21"/>
              </w:rPr>
            </w:pPr>
            <w:r>
              <w:rPr>
                <w:rFonts w:hint="eastAsia" w:ascii="仿宋" w:hAnsi="仿宋" w:eastAsia="仿宋" w:cs="仿宋"/>
                <w:b/>
                <w:bCs/>
                <w:sz w:val="21"/>
                <w:szCs w:val="21"/>
              </w:rPr>
              <w:t>土地</w:t>
            </w:r>
          </w:p>
        </w:tc>
        <w:tc>
          <w:tcPr>
            <w:tcW w:w="2610"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10,688,281.49</w:t>
            </w:r>
          </w:p>
        </w:tc>
        <w:tc>
          <w:tcPr>
            <w:tcW w:w="2046" w:type="dxa"/>
          </w:tcPr>
          <w:p>
            <w:pPr>
              <w:spacing w:before="156" w:beforeLines="50"/>
              <w:jc w:val="center"/>
              <w:rPr>
                <w:rFonts w:ascii="仿宋" w:hAnsi="仿宋" w:eastAsia="仿宋" w:cs="仿宋"/>
                <w:sz w:val="21"/>
                <w:szCs w:val="21"/>
                <w:lang w:bidi="en-US"/>
              </w:rPr>
            </w:pPr>
          </w:p>
        </w:tc>
      </w:tr>
    </w:tbl>
    <w:p>
      <w:pPr>
        <w:keepNext w:val="0"/>
        <w:keepLines w:val="0"/>
        <w:pageBreakBefore w:val="0"/>
        <w:widowControl w:val="0"/>
        <w:kinsoku/>
        <w:wordWrap/>
        <w:overflowPunct/>
        <w:topLinePunct w:val="0"/>
        <w:autoSpaceDE/>
        <w:autoSpaceDN/>
        <w:bidi w:val="0"/>
        <w:adjustRightInd/>
        <w:snapToGrid/>
        <w:spacing w:before="157" w:beforeLines="50" w:line="480" w:lineRule="exact"/>
        <w:ind w:left="189" w:leftChars="90" w:firstLine="280" w:firstLineChars="100"/>
        <w:textAlignment w:val="auto"/>
        <w:rPr>
          <w:rFonts w:ascii="仿宋" w:hAnsi="仿宋" w:eastAsia="仿宋" w:cs="仿宋"/>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w:instrText>
      </w:r>
      <w:r>
        <w:rPr>
          <w:rFonts w:hint="eastAsia" w:ascii="仿宋" w:hAnsi="仿宋" w:eastAsia="仿宋" w:cs="仿宋"/>
          <w:sz w:val="28"/>
          <w:szCs w:val="28"/>
        </w:rPr>
        <w:instrText xml:space="preserve">= 4 \* GB3</w:instrText>
      </w:r>
      <w:r>
        <w:rPr>
          <w:rFonts w:ascii="仿宋" w:hAnsi="仿宋" w:eastAsia="仿宋" w:cs="仿宋"/>
          <w:sz w:val="28"/>
          <w:szCs w:val="28"/>
        </w:rPr>
        <w:instrText xml:space="preserve"> </w:instrText>
      </w:r>
      <w:r>
        <w:rPr>
          <w:rFonts w:ascii="仿宋" w:hAnsi="仿宋" w:eastAsia="仿宋" w:cs="仿宋"/>
          <w:sz w:val="28"/>
          <w:szCs w:val="28"/>
        </w:rPr>
        <w:fldChar w:fldCharType="separate"/>
      </w:r>
      <w:r>
        <w:rPr>
          <w:rFonts w:hint="eastAsia" w:ascii="仿宋" w:hAnsi="仿宋" w:eastAsia="仿宋" w:cs="仿宋"/>
          <w:sz w:val="28"/>
          <w:szCs w:val="28"/>
        </w:rPr>
        <w:t>④</w:t>
      </w:r>
      <w:r>
        <w:rPr>
          <w:rFonts w:ascii="仿宋" w:hAnsi="仿宋" w:eastAsia="仿宋" w:cs="仿宋"/>
          <w:sz w:val="28"/>
          <w:szCs w:val="28"/>
        </w:rPr>
        <w:fldChar w:fldCharType="end"/>
      </w:r>
      <w:r>
        <w:rPr>
          <w:rFonts w:hint="eastAsia" w:ascii="仿宋" w:hAnsi="仿宋" w:eastAsia="仿宋" w:cs="仿宋"/>
          <w:sz w:val="28"/>
          <w:szCs w:val="28"/>
        </w:rPr>
        <w:t>负债：江苏焦点粮食储运有限公司的负债为应交税款。</w:t>
      </w:r>
    </w:p>
    <w:p>
      <w:pPr>
        <w:keepNext w:val="0"/>
        <w:keepLines w:val="0"/>
        <w:pageBreakBefore w:val="0"/>
        <w:widowControl w:val="0"/>
        <w:kinsoku/>
        <w:wordWrap/>
        <w:overflowPunct/>
        <w:topLinePunct w:val="0"/>
        <w:autoSpaceDE/>
        <w:autoSpaceDN/>
        <w:bidi w:val="0"/>
        <w:adjustRightInd/>
        <w:snapToGrid/>
        <w:spacing w:after="157" w:afterLines="50" w:line="480" w:lineRule="exact"/>
        <w:ind w:left="189" w:leftChars="90" w:firstLine="280" w:firstLineChars="100"/>
        <w:textAlignment w:val="auto"/>
        <w:rPr>
          <w:rFonts w:ascii="仿宋" w:hAnsi="仿宋" w:eastAsia="仿宋" w:cs="仿宋"/>
          <w:sz w:val="28"/>
          <w:szCs w:val="28"/>
        </w:rPr>
      </w:pPr>
      <w:r>
        <w:rPr>
          <w:rFonts w:hint="eastAsia" w:ascii="仿宋" w:hAnsi="仿宋" w:eastAsia="仿宋" w:cs="仿宋"/>
          <w:sz w:val="28"/>
          <w:szCs w:val="28"/>
        </w:rPr>
        <w:t>应交税款：截止2020年06月30日，应交税款为土地使用税，</w:t>
      </w:r>
    </w:p>
    <w:tbl>
      <w:tblPr>
        <w:tblStyle w:val="55"/>
        <w:tblW w:w="7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0"/>
        <w:gridCol w:w="265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2655"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账面金额（元）</w:t>
            </w:r>
          </w:p>
        </w:tc>
        <w:tc>
          <w:tcPr>
            <w:tcW w:w="2018" w:type="dxa"/>
          </w:tcPr>
          <w:p>
            <w:pPr>
              <w:spacing w:before="156" w:beforeLines="50"/>
              <w:jc w:val="center"/>
              <w:rPr>
                <w:rFonts w:ascii="仿宋" w:hAnsi="仿宋" w:eastAsia="仿宋" w:cs="仿宋"/>
                <w:b/>
                <w:bCs/>
                <w:sz w:val="21"/>
                <w:szCs w:val="21"/>
                <w:lang w:bidi="en-US"/>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tcPr>
          <w:p>
            <w:pPr>
              <w:spacing w:before="156" w:beforeLines="50"/>
              <w:jc w:val="center"/>
              <w:rPr>
                <w:rFonts w:ascii="仿宋" w:hAnsi="仿宋" w:eastAsia="仿宋" w:cs="仿宋"/>
                <w:sz w:val="21"/>
                <w:szCs w:val="21"/>
              </w:rPr>
            </w:pPr>
            <w:r>
              <w:rPr>
                <w:rFonts w:hint="eastAsia" w:ascii="仿宋" w:hAnsi="仿宋" w:eastAsia="仿宋" w:cs="仿宋"/>
                <w:b/>
                <w:bCs/>
                <w:sz w:val="21"/>
                <w:szCs w:val="21"/>
              </w:rPr>
              <w:t>城镇土地使用税</w:t>
            </w:r>
          </w:p>
        </w:tc>
        <w:tc>
          <w:tcPr>
            <w:tcW w:w="2655"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14,490.23</w:t>
            </w:r>
          </w:p>
        </w:tc>
        <w:tc>
          <w:tcPr>
            <w:tcW w:w="2018" w:type="dxa"/>
          </w:tcPr>
          <w:p>
            <w:pPr>
              <w:spacing w:before="156" w:beforeLines="50"/>
              <w:jc w:val="center"/>
              <w:rPr>
                <w:rFonts w:ascii="仿宋" w:hAnsi="仿宋" w:eastAsia="仿宋" w:cs="仿宋"/>
                <w:sz w:val="21"/>
                <w:szCs w:val="21"/>
                <w:lang w:bidi="en-US"/>
              </w:rPr>
            </w:pPr>
          </w:p>
        </w:tc>
      </w:tr>
    </w:tbl>
    <w:p>
      <w:pPr>
        <w:keepNext w:val="0"/>
        <w:keepLines w:val="0"/>
        <w:pageBreakBefore w:val="0"/>
        <w:widowControl w:val="0"/>
        <w:tabs>
          <w:tab w:val="left" w:pos="2516"/>
        </w:tabs>
        <w:kinsoku/>
        <w:wordWrap/>
        <w:overflowPunct/>
        <w:topLinePunct w:val="0"/>
        <w:autoSpaceDE/>
        <w:autoSpaceDN/>
        <w:bidi w:val="0"/>
        <w:adjustRightInd/>
        <w:snapToGrid/>
        <w:spacing w:before="157" w:beforeLines="50" w:line="480" w:lineRule="exact"/>
        <w:ind w:firstLine="560" w:firstLineChars="200"/>
        <w:textAlignment w:val="auto"/>
        <w:rPr>
          <w:rFonts w:ascii="仿宋" w:hAnsi="仿宋" w:eastAsia="仿宋" w:cs="仿宋"/>
          <w:b/>
          <w:bCs/>
          <w:sz w:val="28"/>
          <w:szCs w:val="28"/>
        </w:rPr>
      </w:pPr>
      <w:r>
        <w:rPr>
          <w:rFonts w:hint="eastAsia" w:ascii="仿宋" w:hAnsi="仿宋" w:eastAsia="仿宋" w:cs="仿宋"/>
          <w:b/>
          <w:bCs/>
          <w:sz w:val="28"/>
          <w:szCs w:val="28"/>
        </w:rPr>
        <w:t>（四）清查结果</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通过全面的资产清查，不存在盘盈、盘亏和毁损、变质、报废的情况，也不存在可以确定的呆坏账损失及无需偿付的负债。</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
          <w:bCs/>
          <w:sz w:val="28"/>
          <w:szCs w:val="28"/>
        </w:rPr>
      </w:pPr>
      <w:r>
        <w:rPr>
          <w:rFonts w:hint="eastAsia" w:ascii="仿宋" w:hAnsi="仿宋" w:eastAsia="仿宋" w:cs="仿宋"/>
          <w:b/>
          <w:bCs/>
          <w:sz w:val="28"/>
          <w:szCs w:val="28"/>
        </w:rPr>
        <w:t>（五）未来经营和收益状况预测说明</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于评估基准日，江苏焦点粮食储运有限公司处于前期阶段，未开始生产经营且处于停滞状态。</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textAlignment w:val="auto"/>
        <w:rPr>
          <w:rFonts w:ascii="仿宋" w:hAnsi="仿宋" w:eastAsia="仿宋" w:cs="仿宋"/>
          <w:b/>
          <w:bCs/>
          <w:sz w:val="28"/>
          <w:szCs w:val="28"/>
        </w:rPr>
      </w:pPr>
      <w:r>
        <w:rPr>
          <w:rFonts w:hint="eastAsia" w:ascii="仿宋" w:hAnsi="仿宋" w:eastAsia="仿宋" w:cs="仿宋"/>
          <w:b/>
          <w:bCs/>
          <w:sz w:val="28"/>
          <w:szCs w:val="28"/>
        </w:rPr>
        <w:t>七、资料清单</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（一）资产负债评估明细表；</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（二）相关经济行为的批文；</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（三）审计报告；</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（四）资产权属证明文件、产权证明文件；</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（五）重大合同、协议等；</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（六）其他资料。</w:t>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（本页以下空白）</w:t>
      </w:r>
    </w:p>
    <w:p>
      <w:pPr>
        <w:rPr>
          <w:rFonts w:hint="eastAsia" w:ascii="仿宋" w:hAnsi="仿宋" w:eastAsia="仿宋" w:cs="仿宋"/>
          <w:sz w:val="28"/>
          <w:szCs w:val="28"/>
        </w:rPr>
      </w:pPr>
      <w:r>
        <w:rPr>
          <w:rFonts w:hint="eastAsia" w:ascii="仿宋" w:hAnsi="仿宋" w:eastAsia="仿宋" w:cs="仿宋"/>
          <w:sz w:val="28"/>
          <w:szCs w:val="28"/>
        </w:rPr>
        <w:br w:type="page"/>
      </w:r>
    </w:p>
    <w:p>
      <w:pPr>
        <w:keepNext w:val="0"/>
        <w:keepLines w:val="0"/>
        <w:pageBreakBefore w:val="0"/>
        <w:widowControl w:val="0"/>
        <w:tabs>
          <w:tab w:val="left" w:pos="2516"/>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sz w:val="28"/>
          <w:szCs w:val="28"/>
        </w:rPr>
      </w:pPr>
      <w:r>
        <w:rPr>
          <w:rFonts w:hint="eastAsia" w:ascii="仿宋" w:hAnsi="仿宋" w:eastAsia="仿宋" w:cs="仿宋"/>
          <w:sz w:val="28"/>
          <w:szCs w:val="28"/>
        </w:rPr>
        <w:t>（以下仅为空白盖章页）</w:t>
      </w:r>
    </w:p>
    <w:p>
      <w:pPr>
        <w:tabs>
          <w:tab w:val="left" w:pos="5040"/>
        </w:tabs>
        <w:spacing w:line="360" w:lineRule="auto"/>
        <w:rPr>
          <w:rFonts w:ascii="仿宋" w:hAnsi="仿宋" w:eastAsia="仿宋" w:cs="仿宋"/>
          <w:color w:val="000000"/>
          <w:sz w:val="28"/>
          <w:szCs w:val="28"/>
        </w:rPr>
      </w:pPr>
    </w:p>
    <w:p>
      <w:pPr>
        <w:tabs>
          <w:tab w:val="left" w:pos="5040"/>
        </w:tabs>
        <w:spacing w:line="360" w:lineRule="auto"/>
        <w:ind w:firstLine="1960" w:firstLineChars="700"/>
        <w:rPr>
          <w:rFonts w:ascii="仿宋" w:hAnsi="仿宋" w:eastAsia="仿宋" w:cs="仿宋"/>
          <w:color w:val="000000"/>
          <w:sz w:val="28"/>
          <w:szCs w:val="28"/>
          <w:u w:val="single"/>
        </w:rPr>
      </w:pPr>
      <w:r>
        <w:rPr>
          <w:rFonts w:hint="eastAsia" w:ascii="仿宋" w:hAnsi="仿宋" w:eastAsia="仿宋" w:cs="仿宋"/>
          <w:color w:val="000000"/>
          <w:sz w:val="28"/>
          <w:szCs w:val="28"/>
        </w:rPr>
        <w:t>委    托    人（盖 章）：</w:t>
      </w:r>
      <w:r>
        <w:rPr>
          <w:rFonts w:hint="eastAsia" w:ascii="仿宋" w:hAnsi="仿宋" w:eastAsia="仿宋" w:cs="仿宋"/>
          <w:color w:val="000000"/>
          <w:sz w:val="28"/>
          <w:szCs w:val="28"/>
          <w:u w:val="single"/>
        </w:rPr>
        <w:t xml:space="preserve">                       </w:t>
      </w:r>
    </w:p>
    <w:p>
      <w:pPr>
        <w:tabs>
          <w:tab w:val="left" w:pos="5040"/>
        </w:tabs>
        <w:spacing w:line="360" w:lineRule="auto"/>
        <w:ind w:firstLine="1960" w:firstLineChars="700"/>
        <w:rPr>
          <w:rFonts w:ascii="仿宋" w:hAnsi="仿宋" w:eastAsia="仿宋" w:cs="仿宋"/>
          <w:color w:val="000000"/>
          <w:sz w:val="28"/>
          <w:szCs w:val="28"/>
        </w:rPr>
      </w:pPr>
    </w:p>
    <w:p>
      <w:pPr>
        <w:tabs>
          <w:tab w:val="left" w:pos="5040"/>
        </w:tabs>
        <w:spacing w:line="360" w:lineRule="auto"/>
        <w:ind w:firstLine="1960" w:firstLineChars="700"/>
        <w:rPr>
          <w:rFonts w:ascii="仿宋" w:hAnsi="仿宋" w:eastAsia="仿宋" w:cs="仿宋"/>
          <w:color w:val="000000"/>
          <w:sz w:val="28"/>
          <w:szCs w:val="28"/>
        </w:rPr>
      </w:pPr>
    </w:p>
    <w:p>
      <w:pPr>
        <w:tabs>
          <w:tab w:val="left" w:pos="5040"/>
        </w:tabs>
        <w:spacing w:line="360" w:lineRule="auto"/>
        <w:ind w:firstLine="1960" w:firstLineChars="700"/>
        <w:rPr>
          <w:rFonts w:ascii="仿宋" w:hAnsi="仿宋" w:eastAsia="仿宋" w:cs="仿宋"/>
          <w:color w:val="000000"/>
          <w:sz w:val="28"/>
          <w:szCs w:val="28"/>
          <w:u w:val="single"/>
        </w:rPr>
      </w:pPr>
      <w:r>
        <w:rPr>
          <w:rFonts w:hint="eastAsia" w:ascii="仿宋" w:hAnsi="仿宋" w:eastAsia="仿宋" w:cs="仿宋"/>
          <w:color w:val="000000"/>
          <w:sz w:val="28"/>
          <w:szCs w:val="28"/>
        </w:rPr>
        <w:t>法 定 代 表 人（签 字）：</w:t>
      </w:r>
      <w:r>
        <w:rPr>
          <w:rFonts w:hint="eastAsia" w:ascii="仿宋" w:hAnsi="仿宋" w:eastAsia="仿宋" w:cs="仿宋"/>
          <w:color w:val="000000"/>
          <w:sz w:val="28"/>
          <w:szCs w:val="28"/>
          <w:u w:val="single"/>
        </w:rPr>
        <w:t xml:space="preserve">                       </w:t>
      </w:r>
    </w:p>
    <w:p>
      <w:pPr>
        <w:tabs>
          <w:tab w:val="left" w:pos="5040"/>
        </w:tabs>
        <w:spacing w:line="360" w:lineRule="auto"/>
        <w:ind w:firstLine="1960" w:firstLineChars="700"/>
        <w:rPr>
          <w:rFonts w:ascii="仿宋" w:hAnsi="仿宋" w:eastAsia="仿宋" w:cs="仿宋"/>
          <w:color w:val="000000"/>
          <w:sz w:val="28"/>
          <w:szCs w:val="28"/>
        </w:rPr>
      </w:pPr>
    </w:p>
    <w:p>
      <w:pPr>
        <w:tabs>
          <w:tab w:val="left" w:pos="5040"/>
        </w:tabs>
        <w:spacing w:line="360" w:lineRule="auto"/>
        <w:ind w:firstLine="1960" w:firstLineChars="700"/>
        <w:rPr>
          <w:rFonts w:ascii="仿宋" w:hAnsi="仿宋" w:eastAsia="仿宋" w:cs="仿宋"/>
          <w:color w:val="000000"/>
          <w:sz w:val="28"/>
          <w:szCs w:val="28"/>
        </w:rPr>
      </w:pPr>
    </w:p>
    <w:p>
      <w:pPr>
        <w:tabs>
          <w:tab w:val="left" w:pos="5040"/>
        </w:tabs>
        <w:spacing w:line="360" w:lineRule="auto"/>
        <w:ind w:firstLine="1960" w:firstLineChars="700"/>
        <w:rPr>
          <w:rFonts w:ascii="仿宋" w:hAnsi="仿宋" w:eastAsia="仿宋" w:cs="仿宋"/>
          <w:color w:val="000000"/>
          <w:sz w:val="28"/>
          <w:szCs w:val="28"/>
          <w:u w:val="single"/>
        </w:rPr>
      </w:pPr>
      <w:r>
        <w:rPr>
          <w:rFonts w:hint="eastAsia" w:ascii="仿宋" w:hAnsi="仿宋" w:eastAsia="仿宋" w:cs="仿宋"/>
          <w:color w:val="000000"/>
          <w:sz w:val="28"/>
          <w:szCs w:val="28"/>
        </w:rPr>
        <w:t>被 评 估 单 位（盖 章）：</w:t>
      </w:r>
      <w:r>
        <w:rPr>
          <w:rFonts w:hint="eastAsia" w:ascii="仿宋" w:hAnsi="仿宋" w:eastAsia="仿宋" w:cs="仿宋"/>
          <w:color w:val="000000"/>
          <w:sz w:val="28"/>
          <w:szCs w:val="28"/>
          <w:u w:val="single"/>
        </w:rPr>
        <w:t xml:space="preserve">                       </w:t>
      </w:r>
    </w:p>
    <w:p>
      <w:pPr>
        <w:tabs>
          <w:tab w:val="left" w:pos="5040"/>
        </w:tabs>
        <w:spacing w:line="360" w:lineRule="auto"/>
        <w:ind w:firstLine="1960" w:firstLineChars="700"/>
        <w:rPr>
          <w:rFonts w:ascii="仿宋" w:hAnsi="仿宋" w:eastAsia="仿宋" w:cs="仿宋"/>
          <w:color w:val="000000"/>
          <w:sz w:val="28"/>
          <w:szCs w:val="28"/>
        </w:rPr>
      </w:pPr>
    </w:p>
    <w:p>
      <w:pPr>
        <w:tabs>
          <w:tab w:val="left" w:pos="5040"/>
        </w:tabs>
        <w:spacing w:line="360" w:lineRule="auto"/>
        <w:ind w:firstLine="1960" w:firstLineChars="700"/>
        <w:rPr>
          <w:rFonts w:ascii="仿宋" w:hAnsi="仿宋" w:eastAsia="仿宋" w:cs="仿宋"/>
          <w:color w:val="000000"/>
          <w:sz w:val="28"/>
          <w:szCs w:val="28"/>
        </w:rPr>
      </w:pPr>
    </w:p>
    <w:p>
      <w:pPr>
        <w:tabs>
          <w:tab w:val="left" w:pos="5040"/>
        </w:tabs>
        <w:spacing w:line="360" w:lineRule="auto"/>
        <w:ind w:firstLine="1960" w:firstLineChars="700"/>
        <w:rPr>
          <w:rFonts w:ascii="仿宋" w:hAnsi="仿宋" w:eastAsia="仿宋" w:cs="仿宋"/>
          <w:color w:val="000000"/>
          <w:sz w:val="28"/>
          <w:szCs w:val="28"/>
          <w:u w:val="single"/>
        </w:rPr>
      </w:pPr>
      <w:r>
        <w:rPr>
          <w:rFonts w:hint="eastAsia" w:ascii="仿宋" w:hAnsi="仿宋" w:eastAsia="仿宋" w:cs="仿宋"/>
          <w:color w:val="000000"/>
          <w:sz w:val="28"/>
          <w:szCs w:val="28"/>
        </w:rPr>
        <w:t>法 定 代 表 人（签 字）：</w:t>
      </w:r>
      <w:r>
        <w:rPr>
          <w:rFonts w:hint="eastAsia" w:ascii="仿宋" w:hAnsi="仿宋" w:eastAsia="仿宋" w:cs="仿宋"/>
          <w:color w:val="000000"/>
          <w:sz w:val="28"/>
          <w:szCs w:val="28"/>
          <w:u w:val="single"/>
        </w:rPr>
        <w:t xml:space="preserve">                       </w:t>
      </w:r>
    </w:p>
    <w:p>
      <w:pPr>
        <w:tabs>
          <w:tab w:val="left" w:pos="5040"/>
        </w:tabs>
        <w:spacing w:line="360" w:lineRule="auto"/>
        <w:ind w:firstLine="1960" w:firstLineChars="700"/>
        <w:rPr>
          <w:rFonts w:ascii="仿宋" w:hAnsi="仿宋" w:eastAsia="仿宋" w:cs="仿宋"/>
          <w:color w:val="000000"/>
          <w:sz w:val="28"/>
          <w:szCs w:val="28"/>
        </w:rPr>
      </w:pPr>
    </w:p>
    <w:p>
      <w:pPr>
        <w:tabs>
          <w:tab w:val="left" w:pos="5040"/>
        </w:tabs>
        <w:spacing w:line="360" w:lineRule="auto"/>
        <w:ind w:firstLine="1960" w:firstLineChars="700"/>
        <w:rPr>
          <w:rFonts w:ascii="仿宋" w:hAnsi="仿宋" w:eastAsia="仿宋" w:cs="仿宋"/>
          <w:color w:val="000000"/>
          <w:sz w:val="28"/>
          <w:szCs w:val="28"/>
        </w:rPr>
      </w:pPr>
    </w:p>
    <w:p>
      <w:pPr>
        <w:spacing w:before="624" w:beforeLines="200" w:line="360" w:lineRule="auto"/>
        <w:ind w:firstLine="629"/>
        <w:jc w:val="right"/>
        <w:rPr>
          <w:rFonts w:ascii="仿宋" w:hAnsi="仿宋" w:eastAsia="仿宋" w:cs="仿宋"/>
          <w:sz w:val="28"/>
          <w:szCs w:val="28"/>
        </w:rPr>
      </w:pPr>
      <w:r>
        <w:rPr>
          <w:rFonts w:hint="eastAsia" w:ascii="仿宋" w:hAnsi="仿宋" w:eastAsia="仿宋" w:cs="仿宋"/>
          <w:color w:val="000000"/>
          <w:sz w:val="28"/>
          <w:szCs w:val="28"/>
        </w:rPr>
        <w:t>2020年    月     日</w:t>
      </w:r>
    </w:p>
    <w:p>
      <w:pPr>
        <w:pStyle w:val="2"/>
        <w:pageBreakBefore/>
        <w:numPr>
          <w:ilvl w:val="0"/>
          <w:numId w:val="5"/>
        </w:numPr>
        <w:tabs>
          <w:tab w:val="left" w:pos="1701"/>
        </w:tabs>
        <w:spacing w:before="312" w:beforeLines="100" w:after="312" w:afterLines="100" w:line="360" w:lineRule="auto"/>
        <w:ind w:left="0" w:firstLine="0"/>
        <w:jc w:val="center"/>
        <w:rPr>
          <w:rFonts w:ascii="仿宋" w:hAnsi="仿宋" w:eastAsia="仿宋" w:cs="仿宋"/>
          <w:bCs/>
          <w:szCs w:val="32"/>
        </w:rPr>
      </w:pPr>
      <w:bookmarkStart w:id="27" w:name="_Toc485741031"/>
      <w:bookmarkStart w:id="28" w:name="_Toc23178"/>
      <w:r>
        <w:rPr>
          <w:rFonts w:hint="eastAsia" w:ascii="仿宋" w:hAnsi="仿宋" w:eastAsia="仿宋" w:cs="仿宋"/>
          <w:bCs/>
          <w:szCs w:val="32"/>
        </w:rPr>
        <w:t>评估对象与评估范围说明</w:t>
      </w:r>
      <w:bookmarkEnd w:id="27"/>
      <w:bookmarkEnd w:id="28"/>
    </w:p>
    <w:p>
      <w:pPr>
        <w:pStyle w:val="153"/>
        <w:spacing w:before="156" w:beforeLines="50" w:after="156" w:afterLines="50" w:line="480" w:lineRule="exact"/>
        <w:ind w:firstLine="0"/>
        <w:contextualSpacing/>
        <w:outlineLvl w:val="1"/>
        <w:rPr>
          <w:rFonts w:ascii="仿宋" w:hAnsi="仿宋" w:eastAsia="仿宋" w:cs="仿宋"/>
          <w:b/>
        </w:rPr>
      </w:pPr>
      <w:bookmarkStart w:id="29" w:name="_Toc485741032"/>
      <w:bookmarkStart w:id="30" w:name="_Toc27052"/>
      <w:r>
        <w:rPr>
          <w:rFonts w:hint="eastAsia" w:ascii="仿宋" w:hAnsi="仿宋" w:eastAsia="仿宋" w:cs="仿宋"/>
          <w:b/>
        </w:rPr>
        <w:t>一、评估对象与评估范围内容</w:t>
      </w:r>
      <w:bookmarkEnd w:id="29"/>
      <w:bookmarkEnd w:id="30"/>
    </w:p>
    <w:p>
      <w:pPr>
        <w:adjustRightInd w:val="0"/>
        <w:snapToGrid w:val="0"/>
        <w:spacing w:line="480" w:lineRule="exact"/>
        <w:ind w:firstLine="560" w:firstLineChars="200"/>
        <w:rPr>
          <w:rFonts w:ascii="仿宋" w:hAnsi="仿宋" w:eastAsia="仿宋" w:cs="仿宋"/>
          <w:sz w:val="28"/>
        </w:rPr>
      </w:pPr>
      <w:r>
        <w:rPr>
          <w:rFonts w:hint="eastAsia" w:ascii="仿宋" w:hAnsi="仿宋" w:eastAsia="仿宋" w:cs="仿宋"/>
          <w:sz w:val="28"/>
        </w:rPr>
        <w:t>评估对象：</w:t>
      </w:r>
      <w:r>
        <w:rPr>
          <w:rFonts w:hint="eastAsia" w:ascii="仿宋" w:hAnsi="仿宋" w:eastAsia="仿宋" w:cs="仿宋"/>
          <w:sz w:val="28"/>
          <w:szCs w:val="28"/>
        </w:rPr>
        <w:t>江苏焦点粮食储运有限公司股东全部股权价值</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rPr>
        <w:t>评估范围：</w:t>
      </w:r>
      <w:r>
        <w:rPr>
          <w:rFonts w:hint="eastAsia" w:ascii="仿宋" w:hAnsi="仿宋" w:eastAsia="仿宋" w:cs="仿宋"/>
          <w:sz w:val="28"/>
          <w:szCs w:val="28"/>
        </w:rPr>
        <w:t>江苏焦点粮食储运有限公司</w:t>
      </w:r>
      <w:r>
        <w:rPr>
          <w:rFonts w:hint="eastAsia" w:ascii="仿宋" w:hAnsi="仿宋" w:eastAsia="仿宋" w:cs="仿宋"/>
          <w:sz w:val="28"/>
        </w:rPr>
        <w:t>的全部资产及相关负债</w:t>
      </w:r>
    </w:p>
    <w:p>
      <w:pPr>
        <w:adjustRightInd w:val="0"/>
        <w:snapToGrid w:val="0"/>
        <w:spacing w:line="480" w:lineRule="exact"/>
        <w:ind w:firstLine="560" w:firstLineChars="200"/>
        <w:rPr>
          <w:rFonts w:ascii="仿宋" w:hAnsi="仿宋" w:eastAsia="仿宋" w:cs="仿宋"/>
          <w:sz w:val="28"/>
        </w:rPr>
      </w:pPr>
      <w:bookmarkStart w:id="31" w:name="_Toc506024013"/>
      <w:bookmarkEnd w:id="31"/>
      <w:r>
        <w:rPr>
          <w:rFonts w:hint="eastAsia" w:ascii="仿宋" w:hAnsi="仿宋" w:eastAsia="仿宋" w:cs="仿宋"/>
          <w:sz w:val="28"/>
        </w:rPr>
        <w:t>评估范围为江苏焦点粮食储运有限公司的全部资产及负债。本次评估的资产账面总额</w:t>
      </w:r>
      <w:r>
        <w:rPr>
          <w:rFonts w:ascii="仿宋" w:hAnsi="仿宋" w:eastAsia="仿宋" w:cs="仿宋"/>
          <w:sz w:val="28"/>
        </w:rPr>
        <w:t>12,860,409.88</w:t>
      </w:r>
      <w:r>
        <w:rPr>
          <w:rFonts w:hint="eastAsia" w:ascii="仿宋" w:hAnsi="仿宋" w:eastAsia="仿宋" w:cs="仿宋"/>
          <w:sz w:val="28"/>
        </w:rPr>
        <w:t>元，为其他应收款1</w:t>
      </w:r>
      <w:r>
        <w:rPr>
          <w:rFonts w:ascii="仿宋" w:hAnsi="仿宋" w:eastAsia="仿宋" w:cs="仿宋"/>
          <w:sz w:val="28"/>
        </w:rPr>
        <w:t>,183,089.39</w:t>
      </w:r>
      <w:r>
        <w:rPr>
          <w:rFonts w:hint="eastAsia" w:ascii="仿宋" w:hAnsi="仿宋" w:eastAsia="仿宋" w:cs="仿宋"/>
          <w:sz w:val="28"/>
        </w:rPr>
        <w:t>元，在建工程989,039.00元，无形资产10,688,281.49元；负债总额14,490.23元；所有者权益1</w:t>
      </w:r>
      <w:r>
        <w:rPr>
          <w:rFonts w:ascii="仿宋" w:hAnsi="仿宋" w:eastAsia="仿宋" w:cs="仿宋"/>
          <w:sz w:val="28"/>
        </w:rPr>
        <w:t>2,845,919.65</w:t>
      </w:r>
      <w:r>
        <w:rPr>
          <w:rFonts w:hint="eastAsia" w:ascii="仿宋" w:hAnsi="仿宋" w:eastAsia="仿宋" w:cs="仿宋"/>
          <w:sz w:val="28"/>
        </w:rPr>
        <w:t>元。详细见下表：</w:t>
      </w:r>
    </w:p>
    <w:p>
      <w:pPr>
        <w:keepNext/>
        <w:spacing w:line="480" w:lineRule="exact"/>
        <w:jc w:val="center"/>
        <w:rPr>
          <w:rFonts w:ascii="仿宋" w:hAnsi="仿宋" w:eastAsia="仿宋" w:cs="仿宋"/>
          <w:b/>
          <w:bCs/>
          <w:sz w:val="28"/>
          <w:szCs w:val="28"/>
        </w:rPr>
      </w:pPr>
      <w:r>
        <w:rPr>
          <w:rFonts w:hint="eastAsia" w:ascii="仿宋" w:hAnsi="仿宋" w:eastAsia="仿宋" w:cs="仿宋"/>
          <w:b/>
          <w:bCs/>
          <w:sz w:val="28"/>
          <w:szCs w:val="28"/>
        </w:rPr>
        <w:t>资产负债表</w:t>
      </w:r>
    </w:p>
    <w:p>
      <w:pPr>
        <w:keepNext/>
        <w:spacing w:line="480" w:lineRule="exact"/>
        <w:jc w:val="center"/>
        <w:rPr>
          <w:rFonts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Cs w:val="21"/>
        </w:rPr>
        <w:t>2020年06月30日</w:t>
      </w:r>
      <w:r>
        <w:rPr>
          <w:rFonts w:hint="eastAsia" w:ascii="仿宋" w:hAnsi="仿宋" w:eastAsia="仿宋" w:cs="仿宋"/>
          <w:b/>
          <w:bCs/>
          <w:sz w:val="28"/>
          <w:szCs w:val="28"/>
        </w:rPr>
        <w:t>）</w:t>
      </w:r>
    </w:p>
    <w:p>
      <w:pPr>
        <w:keepNext/>
        <w:spacing w:before="156" w:line="240" w:lineRule="atLeast"/>
        <w:jc w:val="center"/>
        <w:rPr>
          <w:rFonts w:ascii="仿宋" w:hAnsi="仿宋" w:eastAsia="仿宋" w:cs="仿宋"/>
          <w:sz w:val="18"/>
          <w:szCs w:val="18"/>
        </w:rPr>
      </w:pPr>
      <w:r>
        <w:rPr>
          <w:rFonts w:hint="eastAsia" w:ascii="仿宋" w:hAnsi="仿宋" w:eastAsia="仿宋" w:cs="仿宋"/>
          <w:sz w:val="18"/>
          <w:szCs w:val="18"/>
        </w:rPr>
        <w:t xml:space="preserve">                                                                           </w:t>
      </w:r>
      <w:r>
        <w:rPr>
          <w:rFonts w:hint="eastAsia" w:ascii="仿宋" w:hAnsi="仿宋" w:eastAsia="仿宋" w:cs="仿宋"/>
          <w:sz w:val="24"/>
        </w:rPr>
        <w:t>金额单位：人民币元</w:t>
      </w:r>
    </w:p>
    <w:tbl>
      <w:tblPr>
        <w:tblStyle w:val="54"/>
        <w:tblW w:w="0" w:type="auto"/>
        <w:tblInd w:w="0" w:type="dxa"/>
        <w:tblLayout w:type="fixed"/>
        <w:tblCellMar>
          <w:top w:w="0" w:type="dxa"/>
          <w:left w:w="108" w:type="dxa"/>
          <w:bottom w:w="0" w:type="dxa"/>
          <w:right w:w="108" w:type="dxa"/>
        </w:tblCellMar>
      </w:tblPr>
      <w:tblGrid>
        <w:gridCol w:w="2300"/>
        <w:gridCol w:w="1800"/>
        <w:gridCol w:w="2835"/>
        <w:gridCol w:w="1923"/>
      </w:tblGrid>
      <w:tr>
        <w:tblPrEx>
          <w:tblCellMar>
            <w:top w:w="0" w:type="dxa"/>
            <w:left w:w="108" w:type="dxa"/>
            <w:bottom w:w="0" w:type="dxa"/>
            <w:right w:w="108" w:type="dxa"/>
          </w:tblCellMar>
        </w:tblPrEx>
        <w:trPr>
          <w:trHeight w:val="320" w:hRule="atLeast"/>
          <w:tblHeader/>
        </w:trPr>
        <w:tc>
          <w:tcPr>
            <w:tcW w:w="23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资 产</w:t>
            </w:r>
          </w:p>
        </w:tc>
        <w:tc>
          <w:tcPr>
            <w:tcW w:w="180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账面价值</w:t>
            </w:r>
          </w:p>
        </w:tc>
        <w:tc>
          <w:tcPr>
            <w:tcW w:w="2835"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负债及所有者权益</w:t>
            </w:r>
          </w:p>
        </w:tc>
        <w:tc>
          <w:tcPr>
            <w:tcW w:w="1923"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账面价值</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流动资产：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color w:val="000000"/>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流动负债：</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　</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货币资金</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短期借款</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　</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交易性金融资产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交易性金融负债</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　</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应收票据</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应付票据</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　</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应收账款</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应付账款</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预付款项</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预收款项</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应收利息</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应付职工薪酬</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应收股利</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应交税费</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r>
              <w:rPr>
                <w:rFonts w:hint="eastAsia" w:ascii="仿宋" w:hAnsi="仿宋" w:eastAsia="仿宋" w:cs="仿宋"/>
                <w:szCs w:val="21"/>
              </w:rPr>
              <w:t>14,490.23</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其他应收款</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,183,089.39</w:t>
            </w: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应付利息</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存货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 xml:space="preserve"> </w:t>
            </w: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应付股利</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474"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一年内到期的非流动资产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color w:val="000000"/>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其他应付款</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其他流动资产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color w:val="000000"/>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一年内到期的非流动负债</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color w:val="000000"/>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color w:val="000000"/>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其他流动负债</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color w:val="000000"/>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流动资产合计</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b/>
                <w:bCs/>
                <w:szCs w:val="21"/>
              </w:rPr>
            </w:pPr>
            <w:r>
              <w:rPr>
                <w:rFonts w:hint="eastAsia" w:ascii="仿宋" w:hAnsi="仿宋" w:eastAsia="仿宋" w:cs="仿宋"/>
                <w:b/>
                <w:bCs/>
                <w:szCs w:val="21"/>
              </w:rPr>
              <w:t>1</w:t>
            </w:r>
            <w:r>
              <w:rPr>
                <w:rFonts w:ascii="仿宋" w:hAnsi="仿宋" w:eastAsia="仿宋" w:cs="仿宋"/>
                <w:b/>
                <w:bCs/>
                <w:szCs w:val="21"/>
              </w:rPr>
              <w:t>,183,089.39</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流动负债合计</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b/>
                <w:szCs w:val="21"/>
              </w:rPr>
            </w:pPr>
            <w:r>
              <w:rPr>
                <w:rFonts w:hint="eastAsia" w:ascii="仿宋" w:hAnsi="仿宋" w:eastAsia="仿宋" w:cs="仿宋"/>
                <w:b/>
                <w:szCs w:val="21"/>
              </w:rPr>
              <w:t>14,490.23</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非流动资产：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非流动负债：</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可供出售金融资产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长期借款</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持有至到期投资</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应付债券</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长期应收款</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长期应付款</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长期股权投资</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专项应付款</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投资性房地产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预计负债</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非流动资产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递延收益</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在建工程</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r>
              <w:rPr>
                <w:rFonts w:hint="eastAsia" w:ascii="仿宋" w:hAnsi="仿宋" w:eastAsia="仿宋" w:cs="仿宋"/>
                <w:szCs w:val="21"/>
              </w:rPr>
              <w:t>989,039.00</w:t>
            </w: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递延所得税负债</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工程物资</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其他非流动负债</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非流动资产清理</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非流动负债合计</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b/>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生产性生物资产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负 债 合 计</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b/>
                <w:szCs w:val="21"/>
              </w:rPr>
            </w:pPr>
            <w:r>
              <w:rPr>
                <w:rFonts w:hint="eastAsia" w:ascii="仿宋" w:hAnsi="仿宋" w:eastAsia="仿宋" w:cs="仿宋"/>
                <w:b/>
                <w:szCs w:val="21"/>
              </w:rPr>
              <w:t>14,490.23</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油气资产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所有者权益：</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color w:val="000000"/>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无形资产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r>
              <w:rPr>
                <w:rFonts w:hint="eastAsia" w:ascii="仿宋" w:hAnsi="仿宋" w:eastAsia="仿宋" w:cs="仿宋"/>
                <w:szCs w:val="21"/>
              </w:rPr>
              <w:t>10,688,281.49</w:t>
            </w: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实收资本</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r>
              <w:rPr>
                <w:rFonts w:hint="eastAsia" w:ascii="仿宋" w:hAnsi="仿宋" w:eastAsia="仿宋" w:cs="仿宋"/>
                <w:szCs w:val="21"/>
              </w:rPr>
              <w:t>12,100,000.00</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开发支出</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资本公积</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商誉</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减:库存股</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长期待摊费用</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盈余公积</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递延所得税资产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未分配利润</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r>
              <w:rPr>
                <w:rFonts w:ascii="仿宋" w:hAnsi="仿宋" w:eastAsia="仿宋" w:cs="仿宋"/>
                <w:szCs w:val="21"/>
              </w:rPr>
              <w:t>745,919.65</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xml:space="preserve"> 其他非流动资产</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p>
        </w:tc>
        <w:tc>
          <w:tcPr>
            <w:tcW w:w="2835" w:type="dxa"/>
            <w:tcBorders>
              <w:top w:val="nil"/>
              <w:left w:val="nil"/>
              <w:bottom w:val="single" w:color="auto" w:sz="4" w:space="0"/>
              <w:right w:val="single" w:color="auto"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　</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szCs w:val="21"/>
              </w:rPr>
            </w:pPr>
            <w:r>
              <w:rPr>
                <w:rFonts w:hint="eastAsia" w:ascii="仿宋" w:hAnsi="仿宋" w:eastAsia="仿宋" w:cs="仿宋"/>
                <w:szCs w:val="21"/>
              </w:rPr>
              <w:t xml:space="preserve"> </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非流动资产合计</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b/>
                <w:szCs w:val="21"/>
              </w:rPr>
            </w:pPr>
            <w:r>
              <w:rPr>
                <w:rFonts w:hint="eastAsia" w:ascii="仿宋" w:hAnsi="仿宋" w:eastAsia="仿宋" w:cs="仿宋"/>
                <w:b/>
                <w:szCs w:val="21"/>
              </w:rPr>
              <w:t xml:space="preserve">11,677,320.49  </w:t>
            </w:r>
          </w:p>
        </w:tc>
        <w:tc>
          <w:tcPr>
            <w:tcW w:w="2835" w:type="dxa"/>
            <w:tcBorders>
              <w:top w:val="nil"/>
              <w:left w:val="nil"/>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所有者权益合计</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b/>
                <w:szCs w:val="21"/>
              </w:rPr>
            </w:pPr>
            <w:r>
              <w:rPr>
                <w:rFonts w:ascii="仿宋" w:hAnsi="仿宋" w:eastAsia="仿宋" w:cs="仿宋"/>
                <w:b/>
                <w:szCs w:val="21"/>
              </w:rPr>
              <w:t>12,845,919.65</w:t>
            </w:r>
          </w:p>
        </w:tc>
      </w:tr>
      <w:tr>
        <w:tblPrEx>
          <w:tblCellMar>
            <w:top w:w="0" w:type="dxa"/>
            <w:left w:w="108" w:type="dxa"/>
            <w:bottom w:w="0" w:type="dxa"/>
            <w:right w:w="108" w:type="dxa"/>
          </w:tblCellMar>
        </w:tblPrEx>
        <w:trPr>
          <w:trHeight w:val="320" w:hRule="atLeast"/>
        </w:trPr>
        <w:tc>
          <w:tcPr>
            <w:tcW w:w="2300"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资 产 总 计</w:t>
            </w:r>
          </w:p>
        </w:tc>
        <w:tc>
          <w:tcPr>
            <w:tcW w:w="1800" w:type="dxa"/>
            <w:tcBorders>
              <w:top w:val="nil"/>
              <w:left w:val="nil"/>
              <w:bottom w:val="single" w:color="auto" w:sz="4" w:space="0"/>
              <w:right w:val="single" w:color="auto" w:sz="4" w:space="0"/>
            </w:tcBorders>
            <w:vAlign w:val="center"/>
          </w:tcPr>
          <w:p>
            <w:pPr>
              <w:jc w:val="right"/>
              <w:rPr>
                <w:rFonts w:ascii="仿宋" w:hAnsi="仿宋" w:eastAsia="仿宋" w:cs="仿宋"/>
                <w:b/>
                <w:szCs w:val="21"/>
              </w:rPr>
            </w:pPr>
            <w:r>
              <w:rPr>
                <w:rFonts w:ascii="仿宋" w:hAnsi="仿宋" w:eastAsia="仿宋" w:cs="仿宋"/>
                <w:b/>
                <w:szCs w:val="21"/>
              </w:rPr>
              <w:t>12,860,409.88</w:t>
            </w:r>
          </w:p>
        </w:tc>
        <w:tc>
          <w:tcPr>
            <w:tcW w:w="2835" w:type="dxa"/>
            <w:tcBorders>
              <w:top w:val="nil"/>
              <w:left w:val="nil"/>
              <w:bottom w:val="single" w:color="auto" w:sz="4" w:space="0"/>
              <w:right w:val="single" w:color="auto" w:sz="4" w:space="0"/>
            </w:tcBorders>
            <w:vAlign w:val="center"/>
          </w:tcPr>
          <w:p>
            <w:pPr>
              <w:jc w:val="both"/>
              <w:rPr>
                <w:rFonts w:ascii="仿宋" w:hAnsi="仿宋" w:eastAsia="仿宋" w:cs="仿宋"/>
                <w:b/>
                <w:bCs/>
                <w:color w:val="000000"/>
                <w:szCs w:val="21"/>
              </w:rPr>
            </w:pPr>
            <w:r>
              <w:rPr>
                <w:rFonts w:hint="eastAsia" w:ascii="仿宋" w:hAnsi="仿宋" w:eastAsia="仿宋" w:cs="仿宋"/>
                <w:b/>
                <w:bCs/>
                <w:color w:val="000000"/>
                <w:szCs w:val="21"/>
              </w:rPr>
              <w:t>负债及所有者权益合计</w:t>
            </w:r>
          </w:p>
        </w:tc>
        <w:tc>
          <w:tcPr>
            <w:tcW w:w="1923" w:type="dxa"/>
            <w:tcBorders>
              <w:top w:val="nil"/>
              <w:left w:val="nil"/>
              <w:bottom w:val="single" w:color="auto" w:sz="4" w:space="0"/>
              <w:right w:val="single" w:color="auto" w:sz="4" w:space="0"/>
            </w:tcBorders>
            <w:vAlign w:val="center"/>
          </w:tcPr>
          <w:p>
            <w:pPr>
              <w:jc w:val="right"/>
              <w:rPr>
                <w:rFonts w:ascii="仿宋" w:hAnsi="仿宋" w:eastAsia="仿宋" w:cs="仿宋"/>
                <w:b/>
                <w:szCs w:val="21"/>
              </w:rPr>
            </w:pPr>
            <w:r>
              <w:rPr>
                <w:rFonts w:ascii="仿宋" w:hAnsi="仿宋" w:eastAsia="仿宋" w:cs="仿宋"/>
                <w:b/>
                <w:szCs w:val="21"/>
              </w:rPr>
              <w:t>12,860,409.88</w:t>
            </w:r>
          </w:p>
        </w:tc>
      </w:tr>
    </w:tbl>
    <w:p>
      <w:pPr>
        <w:spacing w:before="312" w:beforeLines="100" w:line="480" w:lineRule="exact"/>
        <w:ind w:firstLine="560" w:firstLineChars="200"/>
        <w:contextualSpacing/>
        <w:rPr>
          <w:rFonts w:ascii="仿宋" w:hAnsi="仿宋" w:eastAsia="仿宋" w:cs="仿宋"/>
          <w:sz w:val="28"/>
        </w:rPr>
      </w:pPr>
      <w:r>
        <w:rPr>
          <w:rFonts w:hint="eastAsia" w:ascii="仿宋" w:hAnsi="仿宋" w:eastAsia="仿宋" w:cs="仿宋"/>
          <w:sz w:val="28"/>
          <w:szCs w:val="28"/>
        </w:rPr>
        <w:t>上述资产负债表数据为江苏焦点粮食储运有限公司于2020年06月30日的财务报表,并经中兴华会计师事务所（特殊普通合伙）审计出具的“中兴华专字（2020）第020198号”审计报告的附表。</w:t>
      </w:r>
    </w:p>
    <w:p>
      <w:pPr>
        <w:spacing w:before="312" w:beforeLines="100" w:line="480" w:lineRule="exact"/>
        <w:ind w:firstLine="560" w:firstLineChars="200"/>
        <w:contextualSpacing/>
        <w:rPr>
          <w:rFonts w:ascii="仿宋" w:hAnsi="仿宋" w:eastAsia="仿宋" w:cs="仿宋"/>
          <w:sz w:val="28"/>
        </w:rPr>
      </w:pPr>
      <w:r>
        <w:rPr>
          <w:rFonts w:hint="eastAsia" w:ascii="仿宋" w:hAnsi="仿宋" w:eastAsia="仿宋" w:cs="仿宋"/>
          <w:sz w:val="28"/>
          <w:szCs w:val="20"/>
        </w:rPr>
        <w:t>以上评估范围内的资产为江苏焦点粮食储运有限公司拥有。</w:t>
      </w:r>
    </w:p>
    <w:p>
      <w:pPr>
        <w:pStyle w:val="153"/>
        <w:spacing w:before="156" w:beforeLines="50" w:after="156" w:afterLines="50" w:line="480" w:lineRule="exact"/>
        <w:ind w:firstLine="0"/>
        <w:contextualSpacing/>
        <w:outlineLvl w:val="1"/>
        <w:rPr>
          <w:rFonts w:ascii="仿宋" w:hAnsi="仿宋" w:eastAsia="仿宋" w:cs="仿宋"/>
          <w:b/>
        </w:rPr>
      </w:pPr>
      <w:bookmarkStart w:id="32" w:name="_Toc7606"/>
      <w:bookmarkStart w:id="33" w:name="_Toc485741033"/>
      <w:r>
        <w:rPr>
          <w:rFonts w:hint="eastAsia" w:ascii="仿宋" w:hAnsi="仿宋" w:eastAsia="仿宋" w:cs="仿宋"/>
          <w:b/>
        </w:rPr>
        <w:t>二、主要资产与负债情况</w:t>
      </w:r>
      <w:bookmarkEnd w:id="32"/>
      <w:bookmarkEnd w:id="33"/>
    </w:p>
    <w:p>
      <w:pPr>
        <w:spacing w:line="480" w:lineRule="exact"/>
        <w:ind w:firstLine="560" w:firstLineChars="200"/>
        <w:rPr>
          <w:rFonts w:ascii="仿宋" w:hAnsi="仿宋" w:eastAsia="仿宋" w:cs="仿宋"/>
          <w:sz w:val="28"/>
          <w:szCs w:val="28"/>
        </w:rPr>
      </w:pPr>
      <w:bookmarkStart w:id="34" w:name="_Toc485741034"/>
      <w:bookmarkStart w:id="35" w:name="_Toc26931"/>
      <w:r>
        <w:rPr>
          <w:rFonts w:hint="eastAsia" w:ascii="仿宋" w:hAnsi="仿宋" w:eastAsia="仿宋" w:cs="仿宋"/>
          <w:sz w:val="28"/>
          <w:szCs w:val="28"/>
        </w:rPr>
        <w:t>纳入评估范围的主要资产为其他应收款</w:t>
      </w:r>
      <w:r>
        <w:rPr>
          <w:rFonts w:hint="eastAsia" w:ascii="仿宋" w:hAnsi="仿宋" w:eastAsia="仿宋" w:cs="仿宋"/>
          <w:sz w:val="28"/>
          <w:szCs w:val="28"/>
          <w:lang w:eastAsia="zh-CN"/>
        </w:rPr>
        <w:t>、</w:t>
      </w:r>
      <w:r>
        <w:rPr>
          <w:rFonts w:hint="eastAsia" w:ascii="仿宋" w:hAnsi="仿宋" w:eastAsia="仿宋" w:cs="仿宋"/>
          <w:sz w:val="28"/>
          <w:szCs w:val="28"/>
        </w:rPr>
        <w:t>在建工程、无形资产</w:t>
      </w:r>
      <w:r>
        <w:rPr>
          <w:rFonts w:hint="eastAsia" w:ascii="仿宋" w:hAnsi="仿宋" w:eastAsia="仿宋" w:cs="仿宋"/>
          <w:sz w:val="28"/>
          <w:szCs w:val="28"/>
          <w:lang w:eastAsia="zh-CN"/>
        </w:rPr>
        <w:t>以及</w:t>
      </w:r>
      <w:r>
        <w:rPr>
          <w:rFonts w:hint="eastAsia" w:ascii="仿宋" w:hAnsi="仿宋" w:eastAsia="仿宋" w:cs="仿宋"/>
          <w:sz w:val="28"/>
          <w:szCs w:val="28"/>
        </w:rPr>
        <w:t>应交税款。</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其中：</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1、其他应收款：</w:t>
      </w:r>
      <w:bookmarkStart w:id="36" w:name="_Hlk46435599"/>
      <w:r>
        <w:rPr>
          <w:rFonts w:hint="eastAsia" w:ascii="仿宋" w:hAnsi="仿宋" w:eastAsia="仿宋" w:cs="仿宋"/>
          <w:sz w:val="28"/>
          <w:szCs w:val="28"/>
        </w:rPr>
        <w:t>截止2020年06月30日,其他应收款为江苏焦点农业科技有限公司的欠款1</w:t>
      </w:r>
      <w:r>
        <w:rPr>
          <w:rFonts w:ascii="仿宋" w:hAnsi="仿宋" w:eastAsia="仿宋" w:cs="仿宋"/>
          <w:sz w:val="28"/>
          <w:szCs w:val="28"/>
        </w:rPr>
        <w:t>,183,089.39</w:t>
      </w:r>
      <w:r>
        <w:rPr>
          <w:rFonts w:hint="eastAsia" w:ascii="仿宋" w:hAnsi="仿宋" w:eastAsia="仿宋" w:cs="仿宋"/>
          <w:sz w:val="28"/>
          <w:szCs w:val="28"/>
        </w:rPr>
        <w:t>元。</w:t>
      </w:r>
      <w:bookmarkEnd w:id="36"/>
    </w:p>
    <w:p>
      <w:pPr>
        <w:spacing w:line="480" w:lineRule="exact"/>
        <w:ind w:firstLine="560" w:firstLineChars="200"/>
        <w:rPr>
          <w:rFonts w:ascii="仿宋" w:hAnsi="仿宋" w:eastAsia="仿宋" w:cs="仿宋"/>
          <w:sz w:val="28"/>
          <w:szCs w:val="28"/>
        </w:rPr>
      </w:pPr>
      <w:bookmarkStart w:id="37" w:name="_Hlk46433731"/>
      <w:bookmarkStart w:id="38" w:name="_Hlk532752689"/>
      <w:r>
        <w:rPr>
          <w:rFonts w:ascii="仿宋" w:hAnsi="仿宋" w:eastAsia="仿宋" w:cs="仿宋"/>
          <w:sz w:val="28"/>
          <w:szCs w:val="28"/>
        </w:rPr>
        <w:t>2</w:t>
      </w:r>
      <w:r>
        <w:rPr>
          <w:rFonts w:hint="eastAsia" w:ascii="仿宋" w:hAnsi="仿宋" w:eastAsia="仿宋" w:cs="仿宋"/>
          <w:sz w:val="28"/>
          <w:szCs w:val="28"/>
        </w:rPr>
        <w:t>、</w:t>
      </w:r>
      <w:bookmarkEnd w:id="37"/>
      <w:r>
        <w:rPr>
          <w:rFonts w:hint="eastAsia" w:ascii="仿宋" w:hAnsi="仿宋" w:eastAsia="仿宋" w:cs="仿宋"/>
          <w:sz w:val="28"/>
          <w:szCs w:val="28"/>
        </w:rPr>
        <w:t>在建工程：截止2020年06月30日，在建工程为江苏焦点粮食仓储物流项目，具体账面价值为：</w:t>
      </w:r>
    </w:p>
    <w:tbl>
      <w:tblPr>
        <w:tblStyle w:val="55"/>
        <w:tblW w:w="7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7"/>
        <w:gridCol w:w="2625"/>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2625"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账面金额（元）</w:t>
            </w:r>
          </w:p>
        </w:tc>
        <w:tc>
          <w:tcPr>
            <w:tcW w:w="2065" w:type="dxa"/>
          </w:tcPr>
          <w:p>
            <w:pPr>
              <w:spacing w:before="156" w:beforeLines="50"/>
              <w:jc w:val="center"/>
              <w:rPr>
                <w:rFonts w:ascii="仿宋" w:hAnsi="仿宋" w:eastAsia="仿宋" w:cs="仿宋"/>
                <w:b/>
                <w:bCs/>
                <w:sz w:val="21"/>
                <w:szCs w:val="21"/>
                <w:lang w:bidi="en-US"/>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237"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江苏焦点粮食仓储物流项目</w:t>
            </w:r>
          </w:p>
        </w:tc>
        <w:tc>
          <w:tcPr>
            <w:tcW w:w="2625"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989,039.00</w:t>
            </w:r>
          </w:p>
        </w:tc>
        <w:tc>
          <w:tcPr>
            <w:tcW w:w="2065" w:type="dxa"/>
          </w:tcPr>
          <w:p>
            <w:pPr>
              <w:spacing w:before="156" w:beforeLines="50"/>
              <w:jc w:val="center"/>
              <w:rPr>
                <w:rFonts w:ascii="仿宋" w:hAnsi="仿宋" w:eastAsia="仿宋" w:cs="仿宋"/>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合计</w:t>
            </w:r>
          </w:p>
        </w:tc>
        <w:tc>
          <w:tcPr>
            <w:tcW w:w="2625"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989,039.00</w:t>
            </w:r>
          </w:p>
        </w:tc>
        <w:tc>
          <w:tcPr>
            <w:tcW w:w="2065" w:type="dxa"/>
          </w:tcPr>
          <w:p>
            <w:pPr>
              <w:spacing w:before="156" w:beforeLines="50"/>
              <w:jc w:val="center"/>
              <w:rPr>
                <w:rFonts w:ascii="仿宋" w:hAnsi="仿宋" w:eastAsia="仿宋" w:cs="仿宋"/>
                <w:sz w:val="21"/>
                <w:szCs w:val="21"/>
                <w:lang w:bidi="en-US"/>
              </w:rPr>
            </w:pPr>
          </w:p>
        </w:tc>
      </w:tr>
    </w:tbl>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、无形资产：截止2020年06月30日，无形资产为土地</w:t>
      </w:r>
    </w:p>
    <w:tbl>
      <w:tblPr>
        <w:tblStyle w:val="55"/>
        <w:tblW w:w="7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3"/>
        <w:gridCol w:w="261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2610"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账面金额（元）</w:t>
            </w:r>
          </w:p>
        </w:tc>
        <w:tc>
          <w:tcPr>
            <w:tcW w:w="2046" w:type="dxa"/>
          </w:tcPr>
          <w:p>
            <w:pPr>
              <w:spacing w:before="156" w:beforeLines="50"/>
              <w:jc w:val="center"/>
              <w:rPr>
                <w:rFonts w:ascii="仿宋" w:hAnsi="仿宋" w:eastAsia="仿宋" w:cs="仿宋"/>
                <w:b/>
                <w:bCs/>
                <w:sz w:val="21"/>
                <w:szCs w:val="21"/>
                <w:lang w:bidi="en-US"/>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tcPr>
          <w:p>
            <w:pPr>
              <w:spacing w:before="156" w:beforeLines="50"/>
              <w:jc w:val="center"/>
              <w:rPr>
                <w:rFonts w:ascii="仿宋" w:hAnsi="仿宋" w:eastAsia="仿宋" w:cs="仿宋"/>
                <w:sz w:val="21"/>
                <w:szCs w:val="21"/>
              </w:rPr>
            </w:pPr>
            <w:r>
              <w:rPr>
                <w:rFonts w:hint="eastAsia" w:ascii="仿宋" w:hAnsi="仿宋" w:eastAsia="仿宋" w:cs="仿宋"/>
                <w:b/>
                <w:bCs/>
                <w:sz w:val="21"/>
                <w:szCs w:val="21"/>
              </w:rPr>
              <w:t>土地</w:t>
            </w:r>
          </w:p>
        </w:tc>
        <w:tc>
          <w:tcPr>
            <w:tcW w:w="2610"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10,688,281.49</w:t>
            </w:r>
          </w:p>
        </w:tc>
        <w:tc>
          <w:tcPr>
            <w:tcW w:w="2046" w:type="dxa"/>
          </w:tcPr>
          <w:p>
            <w:pPr>
              <w:spacing w:before="156" w:beforeLines="50"/>
              <w:jc w:val="center"/>
              <w:rPr>
                <w:rFonts w:ascii="仿宋" w:hAnsi="仿宋" w:eastAsia="仿宋" w:cs="仿宋"/>
                <w:sz w:val="21"/>
                <w:szCs w:val="21"/>
                <w:lang w:bidi="en-US"/>
              </w:rPr>
            </w:pPr>
          </w:p>
        </w:tc>
      </w:tr>
    </w:tbl>
    <w:p>
      <w:pPr>
        <w:spacing w:line="480" w:lineRule="exact"/>
        <w:ind w:left="189" w:leftChars="90" w:firstLine="280" w:firstLineChars="1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、负债：江苏焦点粮食储运有限公司的负债为应交税款。</w:t>
      </w:r>
    </w:p>
    <w:p>
      <w:pPr>
        <w:spacing w:line="480" w:lineRule="exact"/>
        <w:ind w:left="189" w:leftChars="90" w:firstLine="280" w:firstLineChars="100"/>
        <w:rPr>
          <w:rFonts w:ascii="仿宋" w:hAnsi="仿宋" w:eastAsia="仿宋" w:cs="仿宋"/>
          <w:sz w:val="28"/>
          <w:szCs w:val="28"/>
        </w:rPr>
      </w:pPr>
      <w:r>
        <w:rPr>
          <w:rFonts w:hint="eastAsia" w:ascii="仿宋" w:hAnsi="仿宋" w:eastAsia="仿宋" w:cs="仿宋"/>
          <w:sz w:val="28"/>
          <w:szCs w:val="28"/>
        </w:rPr>
        <w:t>应交税款：截止2020年06月30日，应交税款为土地使用税，</w:t>
      </w:r>
    </w:p>
    <w:tbl>
      <w:tblPr>
        <w:tblStyle w:val="55"/>
        <w:tblW w:w="7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0"/>
        <w:gridCol w:w="265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2655"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账面金额（元）</w:t>
            </w:r>
          </w:p>
        </w:tc>
        <w:tc>
          <w:tcPr>
            <w:tcW w:w="2018" w:type="dxa"/>
          </w:tcPr>
          <w:p>
            <w:pPr>
              <w:spacing w:before="156" w:beforeLines="50"/>
              <w:jc w:val="center"/>
              <w:rPr>
                <w:rFonts w:ascii="仿宋" w:hAnsi="仿宋" w:eastAsia="仿宋" w:cs="仿宋"/>
                <w:b/>
                <w:bCs/>
                <w:sz w:val="21"/>
                <w:szCs w:val="21"/>
                <w:lang w:bidi="en-US"/>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tcPr>
          <w:p>
            <w:pPr>
              <w:spacing w:before="156" w:beforeLines="50"/>
              <w:jc w:val="center"/>
              <w:rPr>
                <w:rFonts w:ascii="仿宋" w:hAnsi="仿宋" w:eastAsia="仿宋" w:cs="仿宋"/>
                <w:sz w:val="21"/>
                <w:szCs w:val="21"/>
              </w:rPr>
            </w:pPr>
            <w:r>
              <w:rPr>
                <w:rFonts w:hint="eastAsia" w:ascii="仿宋" w:hAnsi="仿宋" w:eastAsia="仿宋" w:cs="仿宋"/>
                <w:b/>
                <w:bCs/>
                <w:sz w:val="21"/>
                <w:szCs w:val="21"/>
              </w:rPr>
              <w:t>城镇土地使用税</w:t>
            </w:r>
          </w:p>
        </w:tc>
        <w:tc>
          <w:tcPr>
            <w:tcW w:w="2655"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14,490.23</w:t>
            </w:r>
          </w:p>
        </w:tc>
        <w:tc>
          <w:tcPr>
            <w:tcW w:w="2018" w:type="dxa"/>
          </w:tcPr>
          <w:p>
            <w:pPr>
              <w:spacing w:before="156" w:beforeLines="50"/>
              <w:jc w:val="center"/>
              <w:rPr>
                <w:rFonts w:ascii="仿宋" w:hAnsi="仿宋" w:eastAsia="仿宋" w:cs="仿宋"/>
                <w:sz w:val="21"/>
                <w:szCs w:val="21"/>
                <w:lang w:bidi="en-US"/>
              </w:rPr>
            </w:pPr>
          </w:p>
        </w:tc>
      </w:tr>
      <w:bookmarkEnd w:id="38"/>
    </w:tbl>
    <w:p>
      <w:pPr>
        <w:pStyle w:val="153"/>
        <w:spacing w:before="156" w:beforeLines="50" w:after="156" w:afterLines="50" w:line="480" w:lineRule="exact"/>
        <w:ind w:firstLine="0"/>
        <w:contextualSpacing/>
        <w:outlineLvl w:val="1"/>
        <w:rPr>
          <w:rFonts w:ascii="仿宋" w:hAnsi="仿宋" w:eastAsia="仿宋" w:cs="仿宋"/>
          <w:b/>
        </w:rPr>
      </w:pPr>
      <w:r>
        <w:rPr>
          <w:rFonts w:hint="eastAsia" w:ascii="仿宋" w:hAnsi="仿宋" w:eastAsia="仿宋" w:cs="仿宋"/>
          <w:b/>
        </w:rPr>
        <w:t>三、</w:t>
      </w:r>
      <w:bookmarkEnd w:id="34"/>
      <w:bookmarkEnd w:id="35"/>
      <w:bookmarkStart w:id="39" w:name="_Toc485741036"/>
      <w:bookmarkStart w:id="40" w:name="_Toc7833"/>
      <w:r>
        <w:rPr>
          <w:rFonts w:hint="eastAsia" w:ascii="仿宋" w:hAnsi="仿宋" w:eastAsia="仿宋" w:cs="仿宋"/>
          <w:b/>
        </w:rPr>
        <w:t>企业申报的表外资产的类型、数量</w:t>
      </w:r>
      <w:bookmarkEnd w:id="39"/>
      <w:bookmarkEnd w:id="40"/>
    </w:p>
    <w:p>
      <w:pPr>
        <w:pStyle w:val="14"/>
        <w:spacing w:line="480" w:lineRule="exact"/>
        <w:ind w:firstLine="560"/>
        <w:contextualSpacing/>
        <w:jc w:val="left"/>
        <w:rPr>
          <w:rFonts w:ascii="仿宋" w:hAnsi="仿宋" w:eastAsia="仿宋" w:cs="仿宋"/>
          <w:color w:val="000000"/>
          <w:sz w:val="28"/>
          <w:szCs w:val="28"/>
        </w:rPr>
      </w:pPr>
      <w:r>
        <w:rPr>
          <w:rFonts w:hint="eastAsia" w:ascii="仿宋" w:hAnsi="仿宋" w:eastAsia="仿宋" w:cs="仿宋"/>
          <w:color w:val="000000"/>
          <w:sz w:val="28"/>
          <w:szCs w:val="28"/>
        </w:rPr>
        <w:t>截至评估基准日2020年06月30日，江苏焦点粮食储运有限公司未申报评估</w:t>
      </w:r>
      <w:bookmarkStart w:id="41" w:name="_Toc485741037"/>
      <w:r>
        <w:rPr>
          <w:rFonts w:hint="eastAsia" w:ascii="仿宋" w:hAnsi="仿宋" w:eastAsia="仿宋" w:cs="仿宋"/>
          <w:color w:val="000000"/>
          <w:sz w:val="28"/>
          <w:szCs w:val="28"/>
        </w:rPr>
        <w:t>表外资产。</w:t>
      </w:r>
    </w:p>
    <w:p>
      <w:pPr>
        <w:pStyle w:val="153"/>
        <w:spacing w:before="156" w:beforeLines="50" w:after="156" w:afterLines="50" w:line="480" w:lineRule="exact"/>
        <w:ind w:firstLine="0"/>
        <w:contextualSpacing/>
        <w:outlineLvl w:val="1"/>
        <w:rPr>
          <w:rFonts w:ascii="仿宋" w:hAnsi="仿宋" w:eastAsia="仿宋" w:cs="仿宋"/>
          <w:b/>
        </w:rPr>
      </w:pPr>
      <w:bookmarkStart w:id="42" w:name="_Toc21272"/>
      <w:r>
        <w:rPr>
          <w:rFonts w:hint="eastAsia" w:ascii="仿宋" w:hAnsi="仿宋" w:eastAsia="仿宋" w:cs="仿宋"/>
          <w:b/>
        </w:rPr>
        <w:t>四、引用其他机构出具的报告的结论所涉及的相关资产</w:t>
      </w:r>
      <w:bookmarkEnd w:id="41"/>
      <w:bookmarkEnd w:id="42"/>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rPr>
        <w:t>本次评估报告中基准日各项资产及负债账面值系</w:t>
      </w:r>
      <w:r>
        <w:rPr>
          <w:rFonts w:hint="eastAsia" w:ascii="仿宋" w:hAnsi="仿宋" w:eastAsia="仿宋" w:cs="仿宋"/>
          <w:sz w:val="28"/>
          <w:szCs w:val="28"/>
        </w:rPr>
        <w:t>中兴华会计师事务所（特殊普通合伙）审计的“中兴华专字（2020）第020198号”《江苏焦点粮食储运有限公司审计报告》</w:t>
      </w:r>
      <w:r>
        <w:rPr>
          <w:rFonts w:hint="eastAsia" w:ascii="仿宋" w:hAnsi="仿宋" w:eastAsia="仿宋" w:cs="仿宋"/>
          <w:sz w:val="28"/>
        </w:rPr>
        <w:t>的审计结果，未引用其他机构报告内容</w:t>
      </w:r>
      <w:r>
        <w:rPr>
          <w:rFonts w:hint="eastAsia" w:ascii="仿宋" w:hAnsi="仿宋" w:eastAsia="仿宋" w:cs="仿宋"/>
          <w:sz w:val="28"/>
          <w:szCs w:val="28"/>
        </w:rPr>
        <w:t>。</w:t>
      </w:r>
    </w:p>
    <w:p>
      <w:pPr>
        <w:pStyle w:val="2"/>
        <w:pageBreakBefore/>
        <w:numPr>
          <w:ilvl w:val="0"/>
          <w:numId w:val="5"/>
        </w:numPr>
        <w:tabs>
          <w:tab w:val="left" w:pos="1701"/>
        </w:tabs>
        <w:spacing w:before="312" w:beforeLines="100" w:after="312" w:afterLines="100" w:line="360" w:lineRule="auto"/>
        <w:ind w:left="0" w:firstLine="0"/>
        <w:jc w:val="center"/>
        <w:rPr>
          <w:rFonts w:ascii="仿宋" w:hAnsi="仿宋" w:eastAsia="仿宋" w:cs="仿宋"/>
          <w:bCs/>
          <w:szCs w:val="32"/>
        </w:rPr>
      </w:pPr>
      <w:bookmarkStart w:id="43" w:name="_Toc6364"/>
      <w:bookmarkStart w:id="44" w:name="_Toc485741038"/>
      <w:r>
        <w:rPr>
          <w:rFonts w:hint="eastAsia" w:ascii="仿宋" w:hAnsi="仿宋" w:eastAsia="仿宋" w:cs="仿宋"/>
          <w:bCs/>
          <w:szCs w:val="32"/>
        </w:rPr>
        <w:t>资产核实情况总体说明</w:t>
      </w:r>
      <w:bookmarkEnd w:id="43"/>
      <w:bookmarkEnd w:id="44"/>
    </w:p>
    <w:p>
      <w:pPr>
        <w:pStyle w:val="3"/>
        <w:pageBreakBefore w:val="0"/>
        <w:widowControl w:val="0"/>
        <w:kinsoku/>
        <w:wordWrap/>
        <w:overflowPunct/>
        <w:topLinePunct w:val="0"/>
        <w:autoSpaceDE/>
        <w:autoSpaceDN/>
        <w:bidi w:val="0"/>
        <w:adjustRightInd/>
        <w:snapToGrid/>
        <w:spacing w:before="0" w:after="0" w:line="460" w:lineRule="exact"/>
        <w:ind w:left="0" w:firstLine="560" w:firstLineChars="200"/>
        <w:contextualSpacing/>
        <w:textAlignment w:val="auto"/>
        <w:rPr>
          <w:rFonts w:ascii="仿宋" w:hAnsi="仿宋" w:eastAsia="仿宋" w:cs="仿宋"/>
          <w:sz w:val="28"/>
        </w:rPr>
      </w:pPr>
      <w:bookmarkStart w:id="45" w:name="_Toc2300"/>
      <w:bookmarkStart w:id="46" w:name="_Toc485741039"/>
      <w:r>
        <w:rPr>
          <w:rFonts w:hint="eastAsia" w:ascii="仿宋" w:hAnsi="仿宋" w:eastAsia="仿宋" w:cs="仿宋"/>
          <w:sz w:val="28"/>
        </w:rPr>
        <w:t>一、资产核实人员组织、实施时间和过程</w:t>
      </w:r>
      <w:bookmarkEnd w:id="45"/>
      <w:bookmarkEnd w:id="46"/>
    </w:p>
    <w:p>
      <w:pPr>
        <w:pageBreakBefore w:val="0"/>
        <w:widowControl w:val="0"/>
        <w:tabs>
          <w:tab w:val="left" w:pos="1080"/>
        </w:tabs>
        <w:kinsoku/>
        <w:wordWrap/>
        <w:overflowPunct/>
        <w:topLinePunct w:val="0"/>
        <w:autoSpaceDE/>
        <w:autoSpaceDN/>
        <w:bidi w:val="0"/>
        <w:adjustRightInd/>
        <w:snapToGrid/>
        <w:spacing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1.清查组织工作</w:t>
      </w:r>
    </w:p>
    <w:p>
      <w:pPr>
        <w:pageBreakBefore w:val="0"/>
        <w:widowControl w:val="0"/>
        <w:kinsoku/>
        <w:wordWrap/>
        <w:overflowPunct/>
        <w:topLinePunct w:val="0"/>
        <w:autoSpaceDE/>
        <w:autoSpaceDN/>
        <w:bidi w:val="0"/>
        <w:adjustRightInd/>
        <w:snapToGrid/>
        <w:spacing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接受委托后，我公司评估人员根据</w:t>
      </w:r>
      <w:r>
        <w:rPr>
          <w:rFonts w:hint="eastAsia" w:ascii="仿宋" w:hAnsi="仿宋" w:eastAsia="仿宋" w:cs="仿宋"/>
          <w:sz w:val="28"/>
        </w:rPr>
        <w:t>江苏焦点粮食储运有限公司</w:t>
      </w:r>
      <w:r>
        <w:rPr>
          <w:rFonts w:hint="eastAsia" w:ascii="仿宋" w:hAnsi="仿宋" w:eastAsia="仿宋" w:cs="仿宋"/>
          <w:sz w:val="28"/>
          <w:szCs w:val="28"/>
        </w:rPr>
        <w:t>提供的资产评估申报明细表（初步），组成评估工作小组，并制定了详细的现场清查实施计划，于2020年07月04日至2020年07月05日深入现场，对</w:t>
      </w:r>
      <w:r>
        <w:rPr>
          <w:rFonts w:hint="eastAsia" w:ascii="仿宋" w:hAnsi="仿宋" w:eastAsia="仿宋" w:cs="仿宋"/>
          <w:sz w:val="28"/>
        </w:rPr>
        <w:t>江苏焦点粮食储运有限公司</w:t>
      </w:r>
      <w:r>
        <w:rPr>
          <w:rFonts w:hint="eastAsia" w:ascii="仿宋" w:hAnsi="仿宋" w:eastAsia="仿宋" w:cs="仿宋"/>
          <w:sz w:val="28"/>
          <w:szCs w:val="28"/>
        </w:rPr>
        <w:t>申报评估的资产、负债进行了核实。现场清查核实了</w:t>
      </w:r>
      <w:r>
        <w:rPr>
          <w:rFonts w:hint="eastAsia" w:ascii="仿宋" w:hAnsi="仿宋" w:eastAsia="仿宋" w:cs="仿宋"/>
          <w:sz w:val="28"/>
        </w:rPr>
        <w:t>江苏焦点粮食储运有限公司</w:t>
      </w:r>
      <w:r>
        <w:rPr>
          <w:rFonts w:hint="eastAsia" w:ascii="仿宋" w:hAnsi="仿宋" w:eastAsia="仿宋" w:cs="仿宋"/>
          <w:sz w:val="28"/>
          <w:szCs w:val="28"/>
        </w:rPr>
        <w:t>所申报评估资产的存在和使用情况，验证其所提供的文件资料。在此基础上，补充或调整了原评估申报明细表。</w:t>
      </w:r>
    </w:p>
    <w:p>
      <w:pPr>
        <w:pageBreakBefore w:val="0"/>
        <w:widowControl w:val="0"/>
        <w:tabs>
          <w:tab w:val="left" w:pos="1080"/>
        </w:tabs>
        <w:kinsoku/>
        <w:wordWrap/>
        <w:overflowPunct/>
        <w:topLinePunct w:val="0"/>
        <w:autoSpaceDE/>
        <w:autoSpaceDN/>
        <w:bidi w:val="0"/>
        <w:adjustRightInd/>
        <w:snapToGrid/>
        <w:spacing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2.清查实施步骤</w:t>
      </w:r>
    </w:p>
    <w:p>
      <w:pPr>
        <w:pStyle w:val="20"/>
        <w:pageBreakBefore w:val="0"/>
        <w:widowControl w:val="0"/>
        <w:kinsoku/>
        <w:wordWrap/>
        <w:overflowPunct/>
        <w:topLinePunct w:val="0"/>
        <w:autoSpaceDE/>
        <w:autoSpaceDN/>
        <w:bidi w:val="0"/>
        <w:adjustRightInd/>
        <w:snapToGrid/>
        <w:spacing w:after="0"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第一步：指导被评估企业财务与相关资产管理人员在资产清查的基础上，按照评估机构提供的“申报明细表”、“资料清单”及其填写要求，进行登记填报，同时收集被评估资产的产权归属证明文件和反映性能、状态、经济技术指标等情况的文件资料。</w:t>
      </w:r>
    </w:p>
    <w:p>
      <w:pPr>
        <w:pStyle w:val="20"/>
        <w:pageBreakBefore w:val="0"/>
        <w:widowControl w:val="0"/>
        <w:kinsoku/>
        <w:wordWrap/>
        <w:overflowPunct/>
        <w:topLinePunct w:val="0"/>
        <w:autoSpaceDE/>
        <w:autoSpaceDN/>
        <w:bidi w:val="0"/>
        <w:adjustRightInd/>
        <w:snapToGrid/>
        <w:spacing w:after="0"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第二步：初步核实被评估企业提供的申报明细表</w:t>
      </w:r>
    </w:p>
    <w:p>
      <w:pPr>
        <w:pStyle w:val="20"/>
        <w:pageBreakBefore w:val="0"/>
        <w:widowControl w:val="0"/>
        <w:kinsoku/>
        <w:wordWrap/>
        <w:overflowPunct/>
        <w:topLinePunct w:val="0"/>
        <w:autoSpaceDE/>
        <w:autoSpaceDN/>
        <w:bidi w:val="0"/>
        <w:adjustRightInd/>
        <w:snapToGrid/>
        <w:spacing w:after="0"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评估人员通过了解涉及评估范围内具体对象的详细状况，然后核实各类资产明细，检查有无填写不全、错填、漏填、资产项目填写不明确等现象，并要求被评估企业人员及时更正。</w:t>
      </w:r>
    </w:p>
    <w:p>
      <w:pPr>
        <w:pStyle w:val="20"/>
        <w:pageBreakBefore w:val="0"/>
        <w:widowControl w:val="0"/>
        <w:kinsoku/>
        <w:wordWrap/>
        <w:overflowPunct/>
        <w:topLinePunct w:val="0"/>
        <w:autoSpaceDE/>
        <w:autoSpaceDN/>
        <w:bidi w:val="0"/>
        <w:adjustRightInd/>
        <w:snapToGrid/>
        <w:spacing w:after="0"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第三步：现场实地勘察</w:t>
      </w:r>
    </w:p>
    <w:p>
      <w:pPr>
        <w:pStyle w:val="20"/>
        <w:pageBreakBefore w:val="0"/>
        <w:widowControl w:val="0"/>
        <w:kinsoku/>
        <w:wordWrap/>
        <w:overflowPunct/>
        <w:topLinePunct w:val="0"/>
        <w:autoSpaceDE/>
        <w:autoSpaceDN/>
        <w:bidi w:val="0"/>
        <w:adjustRightInd/>
        <w:snapToGrid/>
        <w:spacing w:after="0"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评估人员依据资产评估申报明细表，于2020年07月04日至2020年07月05日对申报资产进行了现场核查。对非实物资产主要通过查阅企业的原始会计凭证、核查企业债权债务的形成过程和账面数字的准确性，通过访谈、函证及账龄分析了解其真实性及回收（偿付）可能。对实物资产主要采用逐项清查和抽查，针对不同的资产性质及特点，采取不同的勘查方法，核查其数量、使用环境及状态等。</w:t>
      </w:r>
    </w:p>
    <w:p>
      <w:pPr>
        <w:pStyle w:val="20"/>
        <w:pageBreakBefore w:val="0"/>
        <w:widowControl w:val="0"/>
        <w:kinsoku/>
        <w:wordWrap/>
        <w:overflowPunct/>
        <w:topLinePunct w:val="0"/>
        <w:autoSpaceDE/>
        <w:autoSpaceDN/>
        <w:bidi w:val="0"/>
        <w:adjustRightInd/>
        <w:snapToGrid/>
        <w:spacing w:after="0"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第四步：补充、修改和完善资产评估明细表</w:t>
      </w:r>
    </w:p>
    <w:p>
      <w:pPr>
        <w:pStyle w:val="20"/>
        <w:pageBreakBefore w:val="0"/>
        <w:widowControl w:val="0"/>
        <w:kinsoku/>
        <w:wordWrap/>
        <w:overflowPunct/>
        <w:topLinePunct w:val="0"/>
        <w:autoSpaceDE/>
        <w:autoSpaceDN/>
        <w:bidi w:val="0"/>
        <w:adjustRightInd/>
        <w:snapToGrid/>
        <w:spacing w:after="0"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根据现场实地勘察结果，进一步完善资产评估明细表，以做到“表”“实”相符。</w:t>
      </w:r>
    </w:p>
    <w:p>
      <w:pPr>
        <w:pStyle w:val="20"/>
        <w:pageBreakBefore w:val="0"/>
        <w:widowControl w:val="0"/>
        <w:kinsoku/>
        <w:wordWrap/>
        <w:overflowPunct/>
        <w:topLinePunct w:val="0"/>
        <w:autoSpaceDE/>
        <w:autoSpaceDN/>
        <w:bidi w:val="0"/>
        <w:adjustRightInd/>
        <w:snapToGrid/>
        <w:spacing w:after="0"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第五步：核实产权证明文件</w:t>
      </w:r>
    </w:p>
    <w:p>
      <w:pPr>
        <w:pStyle w:val="20"/>
        <w:pageBreakBefore w:val="0"/>
        <w:widowControl w:val="0"/>
        <w:kinsoku/>
        <w:wordWrap/>
        <w:overflowPunct/>
        <w:topLinePunct w:val="0"/>
        <w:autoSpaceDE/>
        <w:autoSpaceDN/>
        <w:bidi w:val="0"/>
        <w:adjustRightInd/>
        <w:snapToGrid/>
        <w:spacing w:after="0"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对被评估资产的产权进行调查，收集、查验相关权属证明资料。对权属资料不完善、权属不清晰的提请被评估企业核实，出具相关产权说明文件。</w:t>
      </w:r>
    </w:p>
    <w:p>
      <w:pPr>
        <w:pageBreakBefore w:val="0"/>
        <w:widowControl w:val="0"/>
        <w:tabs>
          <w:tab w:val="left" w:pos="1080"/>
        </w:tabs>
        <w:kinsoku/>
        <w:wordWrap/>
        <w:overflowPunct/>
        <w:topLinePunct w:val="0"/>
        <w:autoSpaceDE/>
        <w:autoSpaceDN/>
        <w:bidi w:val="0"/>
        <w:adjustRightInd/>
        <w:snapToGrid/>
        <w:spacing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3.各项资产清查过程</w:t>
      </w:r>
    </w:p>
    <w:p>
      <w:pPr>
        <w:pageBreakBefore w:val="0"/>
        <w:widowControl w:val="0"/>
        <w:kinsoku/>
        <w:wordWrap/>
        <w:overflowPunct/>
        <w:topLinePunct w:val="0"/>
        <w:autoSpaceDE/>
        <w:autoSpaceDN/>
        <w:bidi w:val="0"/>
        <w:adjustRightInd/>
        <w:snapToGrid/>
        <w:spacing w:line="4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（1）其他应收款的清查：</w:t>
      </w:r>
      <w:bookmarkStart w:id="47" w:name="_Hlk46435685"/>
      <w:r>
        <w:rPr>
          <w:rFonts w:hint="eastAsia" w:ascii="仿宋" w:hAnsi="仿宋" w:eastAsia="仿宋" w:cs="仿宋"/>
          <w:sz w:val="28"/>
          <w:szCs w:val="28"/>
        </w:rPr>
        <w:t>在核实无误的基础上，根据每笔款项可能收回的数额确定评估值。对于有充分理由相信全都能收回的，按全部应收款额计算评估值；对于很可能收不回部分款项的，在难以确定收不回的数额时，按财务上计算坏账准备的方法，估计出这部分款项，再从这部分应收账款总额中扣除得到评估值。</w:t>
      </w:r>
      <w:bookmarkEnd w:id="47"/>
    </w:p>
    <w:p>
      <w:pPr>
        <w:pageBreakBefore w:val="0"/>
        <w:widowControl w:val="0"/>
        <w:kinsoku/>
        <w:wordWrap/>
        <w:overflowPunct/>
        <w:topLinePunct w:val="0"/>
        <w:autoSpaceDE/>
        <w:autoSpaceDN/>
        <w:bidi w:val="0"/>
        <w:adjustRightInd/>
        <w:snapToGrid/>
        <w:spacing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（2）在建工程的清查：纳入本次评估范围的在建工程为码头与仓库。评估人员核对了相关文件，会计凭证等，对漏填、错填、重填的返回企业补充完善。</w:t>
      </w:r>
    </w:p>
    <w:p>
      <w:pPr>
        <w:pageBreakBefore w:val="0"/>
        <w:widowControl w:val="0"/>
        <w:kinsoku/>
        <w:wordWrap/>
        <w:overflowPunct/>
        <w:topLinePunct w:val="0"/>
        <w:autoSpaceDE/>
        <w:autoSpaceDN/>
        <w:bidi w:val="0"/>
        <w:adjustRightInd/>
        <w:snapToGrid/>
        <w:spacing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）无形资产的清查：纳入本次评估范围的无形资产为宗地编号2017-G-13（证号为苏（2018）大丰区不动产权第0014909号），面积为64401平方米的仓储用地，土地使用权终止日期为2068年06月21日。</w:t>
      </w:r>
    </w:p>
    <w:p>
      <w:pPr>
        <w:pageBreakBefore w:val="0"/>
        <w:widowControl w:val="0"/>
        <w:kinsoku/>
        <w:wordWrap/>
        <w:overflowPunct/>
        <w:topLinePunct w:val="0"/>
        <w:autoSpaceDE/>
        <w:autoSpaceDN/>
        <w:bidi w:val="0"/>
        <w:adjustRightInd/>
        <w:snapToGrid/>
        <w:spacing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负债的清查：被评估企业的负债包括流动负债，流动负债主要为应交税费与其他应付款。在清查时，将申报表与会计报表、明细账、总账进行核对，同时查阅了相关原始凭证及合同，对每笔款项逐一核实，确认其债务的存在与否，并对大额款项进行函证。</w:t>
      </w:r>
    </w:p>
    <w:p>
      <w:pPr>
        <w:pageBreakBefore w:val="0"/>
        <w:widowControl w:val="0"/>
        <w:kinsoku/>
        <w:wordWrap/>
        <w:overflowPunct/>
        <w:topLinePunct w:val="0"/>
        <w:autoSpaceDE/>
        <w:autoSpaceDN/>
        <w:bidi w:val="0"/>
        <w:adjustRightInd/>
        <w:snapToGrid/>
        <w:spacing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4.影响资产核实的事项及处理方法</w:t>
      </w:r>
    </w:p>
    <w:p>
      <w:pPr>
        <w:pageBreakBefore w:val="0"/>
        <w:widowControl w:val="0"/>
        <w:kinsoku/>
        <w:wordWrap/>
        <w:overflowPunct/>
        <w:topLinePunct w:val="0"/>
        <w:autoSpaceDE/>
        <w:autoSpaceDN/>
        <w:bidi w:val="0"/>
        <w:adjustRightInd/>
        <w:snapToGrid/>
        <w:spacing w:line="460" w:lineRule="exact"/>
        <w:ind w:firstLine="560" w:firstLineChars="200"/>
        <w:contextualSpacing/>
        <w:textAlignment w:val="auto"/>
        <w:rPr>
          <w:rFonts w:ascii="仿宋" w:hAnsi="仿宋" w:eastAsia="仿宋" w:cs="仿宋"/>
          <w:sz w:val="28"/>
          <w:szCs w:val="28"/>
        </w:rPr>
      </w:pPr>
      <w:r>
        <w:rPr>
          <w:rFonts w:hint="eastAsia" w:ascii="仿宋" w:hAnsi="仿宋" w:eastAsia="仿宋" w:cs="仿宋"/>
          <w:sz w:val="28"/>
          <w:szCs w:val="28"/>
        </w:rPr>
        <w:t>无。</w:t>
      </w:r>
    </w:p>
    <w:p>
      <w:pPr>
        <w:pStyle w:val="3"/>
        <w:pageBreakBefore w:val="0"/>
        <w:widowControl w:val="0"/>
        <w:kinsoku/>
        <w:wordWrap/>
        <w:overflowPunct/>
        <w:topLinePunct w:val="0"/>
        <w:autoSpaceDE/>
        <w:autoSpaceDN/>
        <w:bidi w:val="0"/>
        <w:adjustRightInd/>
        <w:snapToGrid/>
        <w:spacing w:before="0" w:after="0" w:line="460" w:lineRule="exact"/>
        <w:ind w:left="0" w:firstLine="560" w:firstLineChars="200"/>
        <w:contextualSpacing/>
        <w:textAlignment w:val="auto"/>
        <w:rPr>
          <w:rFonts w:ascii="仿宋" w:hAnsi="仿宋" w:eastAsia="仿宋" w:cs="仿宋"/>
          <w:sz w:val="28"/>
        </w:rPr>
      </w:pPr>
      <w:bookmarkStart w:id="48" w:name="_Toc29382"/>
      <w:bookmarkStart w:id="49" w:name="_Toc485741040"/>
      <w:r>
        <w:rPr>
          <w:rFonts w:hint="eastAsia" w:ascii="仿宋" w:hAnsi="仿宋" w:eastAsia="仿宋" w:cs="仿宋"/>
          <w:sz w:val="28"/>
        </w:rPr>
        <w:t>二、核实结论</w:t>
      </w:r>
      <w:bookmarkEnd w:id="48"/>
      <w:bookmarkEnd w:id="49"/>
    </w:p>
    <w:p>
      <w:pPr>
        <w:pageBreakBefore w:val="0"/>
        <w:widowControl w:val="0"/>
        <w:kinsoku/>
        <w:wordWrap/>
        <w:overflowPunct/>
        <w:topLinePunct w:val="0"/>
        <w:autoSpaceDE/>
        <w:autoSpaceDN/>
        <w:bidi w:val="0"/>
        <w:adjustRightInd/>
        <w:snapToGrid/>
        <w:spacing w:line="460" w:lineRule="exact"/>
        <w:ind w:firstLine="560" w:firstLineChars="200"/>
        <w:contextualSpacing/>
        <w:jc w:val="left"/>
        <w:textAlignment w:val="auto"/>
        <w:rPr>
          <w:rFonts w:ascii="仿宋" w:hAnsi="仿宋" w:eastAsia="仿宋" w:cs="仿宋"/>
          <w:position w:val="8"/>
          <w:sz w:val="28"/>
          <w:szCs w:val="28"/>
        </w:rPr>
      </w:pPr>
      <w:r>
        <w:rPr>
          <w:rFonts w:hint="eastAsia" w:ascii="仿宋" w:hAnsi="仿宋" w:eastAsia="仿宋" w:cs="仿宋"/>
          <w:position w:val="8"/>
          <w:sz w:val="28"/>
          <w:szCs w:val="28"/>
        </w:rPr>
        <w:t>通过对评估范围内的资产产权进行核实，对资产的数量和状况进行现场盘点和勘察，对其他资产及负债进行真实性清查，清查情况表明：</w:t>
      </w:r>
    </w:p>
    <w:p>
      <w:pPr>
        <w:pStyle w:val="306"/>
        <w:pageBreakBefore w:val="0"/>
        <w:widowControl w:val="0"/>
        <w:kinsoku/>
        <w:wordWrap/>
        <w:overflowPunct/>
        <w:topLinePunct w:val="0"/>
        <w:autoSpaceDE/>
        <w:autoSpaceDN/>
        <w:bidi w:val="0"/>
        <w:adjustRightInd/>
        <w:snapToGrid/>
        <w:spacing w:line="460" w:lineRule="exact"/>
        <w:ind w:firstLine="560"/>
        <w:contextualSpacing/>
        <w:jc w:val="left"/>
        <w:textAlignment w:val="auto"/>
        <w:rPr>
          <w:rFonts w:ascii="仿宋" w:hAnsi="仿宋" w:eastAsia="仿宋" w:cs="仿宋"/>
          <w:position w:val="8"/>
          <w:sz w:val="28"/>
          <w:szCs w:val="28"/>
        </w:rPr>
      </w:pPr>
      <w:r>
        <w:rPr>
          <w:rFonts w:hint="eastAsia" w:ascii="仿宋" w:hAnsi="仿宋" w:eastAsia="仿宋" w:cs="仿宋"/>
          <w:position w:val="8"/>
          <w:sz w:val="28"/>
          <w:szCs w:val="28"/>
        </w:rPr>
        <w:t>1.资产的清查情况与申报明细一一核对，对清查核实明细项目已与企业财务人员进行了沟通。</w:t>
      </w:r>
    </w:p>
    <w:p>
      <w:pPr>
        <w:pStyle w:val="306"/>
        <w:pageBreakBefore w:val="0"/>
        <w:widowControl w:val="0"/>
        <w:kinsoku/>
        <w:wordWrap/>
        <w:overflowPunct/>
        <w:topLinePunct w:val="0"/>
        <w:autoSpaceDE/>
        <w:autoSpaceDN/>
        <w:bidi w:val="0"/>
        <w:adjustRightInd/>
        <w:snapToGrid/>
        <w:spacing w:line="460" w:lineRule="exact"/>
        <w:ind w:firstLine="560"/>
        <w:contextualSpacing/>
        <w:jc w:val="left"/>
        <w:textAlignment w:val="auto"/>
        <w:rPr>
          <w:rFonts w:ascii="仿宋" w:hAnsi="仿宋" w:eastAsia="仿宋" w:cs="仿宋"/>
          <w:position w:val="8"/>
          <w:sz w:val="28"/>
          <w:szCs w:val="28"/>
        </w:rPr>
      </w:pPr>
      <w:r>
        <w:rPr>
          <w:rFonts w:hint="eastAsia" w:ascii="仿宋" w:hAnsi="仿宋" w:eastAsia="仿宋" w:cs="仿宋"/>
          <w:position w:val="8"/>
          <w:sz w:val="28"/>
          <w:szCs w:val="28"/>
        </w:rPr>
        <w:t>2.评估申报明细表和账面记录一致，申报明细表与实际情况吻合。</w:t>
      </w:r>
    </w:p>
    <w:p>
      <w:pPr>
        <w:pStyle w:val="2"/>
        <w:pageBreakBefore/>
        <w:numPr>
          <w:ilvl w:val="0"/>
          <w:numId w:val="5"/>
        </w:numPr>
        <w:tabs>
          <w:tab w:val="left" w:pos="1701"/>
        </w:tabs>
        <w:spacing w:before="312" w:beforeLines="100" w:after="312" w:afterLines="100" w:line="360" w:lineRule="auto"/>
        <w:ind w:left="0" w:firstLine="0"/>
        <w:jc w:val="center"/>
        <w:rPr>
          <w:rFonts w:ascii="仿宋" w:hAnsi="仿宋" w:eastAsia="仿宋" w:cs="仿宋"/>
          <w:bCs/>
          <w:szCs w:val="32"/>
        </w:rPr>
      </w:pPr>
      <w:bookmarkStart w:id="50" w:name="_Toc485741041"/>
      <w:bookmarkStart w:id="51" w:name="_Toc19355"/>
      <w:r>
        <w:rPr>
          <w:rFonts w:hint="eastAsia" w:ascii="仿宋" w:hAnsi="仿宋" w:eastAsia="仿宋" w:cs="仿宋"/>
          <w:bCs/>
          <w:szCs w:val="32"/>
        </w:rPr>
        <w:t>资产基础法评估技术说明</w:t>
      </w:r>
      <w:bookmarkEnd w:id="50"/>
      <w:bookmarkEnd w:id="51"/>
    </w:p>
    <w:p>
      <w:pPr>
        <w:pStyle w:val="343"/>
        <w:pageBreakBefore w:val="0"/>
        <w:widowControl w:val="0"/>
        <w:kinsoku/>
        <w:wordWrap/>
        <w:overflowPunct/>
        <w:topLinePunct w:val="0"/>
        <w:autoSpaceDE/>
        <w:autoSpaceDN/>
        <w:bidi w:val="0"/>
        <w:adjustRightInd/>
        <w:snapToGrid/>
        <w:spacing w:before="0" w:after="0" w:line="480" w:lineRule="exact"/>
        <w:ind w:left="0" w:firstLine="560" w:firstLineChars="200"/>
        <w:contextualSpacing/>
        <w:jc w:val="left"/>
        <w:rPr>
          <w:rFonts w:ascii="仿宋" w:hAnsi="仿宋" w:eastAsia="仿宋" w:cs="仿宋"/>
          <w:b w:val="0"/>
          <w:bCs w:val="0"/>
        </w:rPr>
      </w:pPr>
      <w:bookmarkStart w:id="52" w:name="_Toc459197182"/>
      <w:bookmarkStart w:id="53" w:name="_Toc427311237"/>
      <w:bookmarkStart w:id="54" w:name="_Toc451863920"/>
      <w:bookmarkStart w:id="55" w:name="_Toc445108017"/>
      <w:bookmarkStart w:id="56" w:name="_Toc485741042"/>
      <w:bookmarkStart w:id="57" w:name="_Toc148767287"/>
      <w:bookmarkStart w:id="58" w:name="_Toc28784"/>
      <w:r>
        <w:rPr>
          <w:rFonts w:hint="eastAsia" w:ascii="仿宋" w:hAnsi="仿宋" w:eastAsia="仿宋" w:cs="仿宋"/>
          <w:b w:val="0"/>
          <w:bCs w:val="0"/>
        </w:rPr>
        <w:t>资产基础法是评估企业价值较常用的方法，原因是这类企业很可能不再按照原有计划持续生产经营，可以将企业的资产和负债按照会计科目分拆，按照每一项分别单独测算，再进行加总，就可以测算出企业资产价值和负债价值。</w:t>
      </w:r>
    </w:p>
    <w:p>
      <w:pPr>
        <w:pStyle w:val="343"/>
        <w:pageBreakBefore w:val="0"/>
        <w:widowControl w:val="0"/>
        <w:kinsoku/>
        <w:wordWrap/>
        <w:overflowPunct/>
        <w:topLinePunct w:val="0"/>
        <w:autoSpaceDE/>
        <w:autoSpaceDN/>
        <w:bidi w:val="0"/>
        <w:adjustRightInd/>
        <w:snapToGrid/>
        <w:spacing w:before="0" w:after="0" w:line="480" w:lineRule="exact"/>
        <w:ind w:left="0" w:firstLine="560" w:firstLineChars="200"/>
        <w:contextualSpacing/>
        <w:jc w:val="left"/>
        <w:rPr>
          <w:rFonts w:ascii="仿宋" w:hAnsi="仿宋" w:eastAsia="仿宋" w:cs="仿宋"/>
          <w:b w:val="0"/>
          <w:bCs w:val="0"/>
        </w:rPr>
      </w:pPr>
      <w:r>
        <w:rPr>
          <w:rFonts w:hint="eastAsia" w:ascii="仿宋" w:hAnsi="仿宋" w:eastAsia="仿宋" w:cs="仿宋"/>
          <w:b w:val="0"/>
          <w:bCs w:val="0"/>
        </w:rPr>
        <w:t>采用资产基础法评估企业价值的前提条件有两个：</w:t>
      </w:r>
    </w:p>
    <w:p>
      <w:pPr>
        <w:pStyle w:val="343"/>
        <w:pageBreakBefore w:val="0"/>
        <w:widowControl w:val="0"/>
        <w:kinsoku/>
        <w:wordWrap/>
        <w:overflowPunct/>
        <w:topLinePunct w:val="0"/>
        <w:autoSpaceDE/>
        <w:autoSpaceDN/>
        <w:bidi w:val="0"/>
        <w:adjustRightInd/>
        <w:snapToGrid/>
        <w:spacing w:before="0" w:after="0" w:line="480" w:lineRule="exact"/>
        <w:ind w:left="0" w:firstLine="560" w:firstLineChars="200"/>
        <w:contextualSpacing/>
        <w:jc w:val="left"/>
        <w:rPr>
          <w:rFonts w:ascii="仿宋" w:hAnsi="仿宋" w:eastAsia="仿宋" w:cs="仿宋"/>
          <w:b w:val="0"/>
          <w:bCs w:val="0"/>
        </w:rPr>
      </w:pPr>
      <w:r>
        <w:rPr>
          <w:rFonts w:hint="eastAsia" w:ascii="仿宋" w:hAnsi="仿宋" w:eastAsia="仿宋" w:cs="仿宋"/>
          <w:b w:val="0"/>
          <w:bCs w:val="0"/>
        </w:rPr>
        <w:t>一是企业应当具备资产或者负债可利用的历史资料；</w:t>
      </w:r>
    </w:p>
    <w:p>
      <w:pPr>
        <w:pStyle w:val="343"/>
        <w:pageBreakBefore w:val="0"/>
        <w:widowControl w:val="0"/>
        <w:kinsoku/>
        <w:wordWrap/>
        <w:overflowPunct/>
        <w:topLinePunct w:val="0"/>
        <w:autoSpaceDE/>
        <w:autoSpaceDN/>
        <w:bidi w:val="0"/>
        <w:adjustRightInd/>
        <w:snapToGrid/>
        <w:spacing w:before="0" w:after="0" w:line="480" w:lineRule="exact"/>
        <w:ind w:left="0" w:firstLine="560" w:firstLineChars="200"/>
        <w:contextualSpacing/>
        <w:jc w:val="left"/>
        <w:rPr>
          <w:rFonts w:ascii="仿宋" w:hAnsi="仿宋" w:eastAsia="仿宋" w:cs="仿宋"/>
          <w:b w:val="0"/>
          <w:bCs w:val="0"/>
        </w:rPr>
      </w:pPr>
      <w:r>
        <w:rPr>
          <w:rFonts w:hint="eastAsia" w:ascii="仿宋" w:hAnsi="仿宋" w:eastAsia="仿宋" w:cs="仿宋"/>
          <w:b w:val="0"/>
          <w:bCs w:val="0"/>
        </w:rPr>
        <w:t>二是形成资产或负债价值必要的耗费可以测算。</w:t>
      </w:r>
    </w:p>
    <w:p>
      <w:pPr>
        <w:pStyle w:val="343"/>
        <w:pageBreakBefore w:val="0"/>
        <w:widowControl w:val="0"/>
        <w:kinsoku/>
        <w:wordWrap/>
        <w:overflowPunct/>
        <w:topLinePunct w:val="0"/>
        <w:autoSpaceDE/>
        <w:autoSpaceDN/>
        <w:bidi w:val="0"/>
        <w:adjustRightInd/>
        <w:snapToGrid/>
        <w:spacing w:before="0" w:after="0" w:line="480" w:lineRule="exact"/>
        <w:ind w:left="0" w:firstLine="560" w:firstLineChars="200"/>
        <w:contextualSpacing/>
        <w:jc w:val="left"/>
        <w:rPr>
          <w:rFonts w:ascii="仿宋" w:hAnsi="仿宋" w:eastAsia="仿宋" w:cs="仿宋"/>
          <w:b w:val="0"/>
          <w:bCs w:val="0"/>
        </w:rPr>
      </w:pPr>
      <w:r>
        <w:rPr>
          <w:rFonts w:hint="eastAsia" w:ascii="仿宋" w:hAnsi="仿宋" w:eastAsia="仿宋" w:cs="仿宋"/>
          <w:b w:val="0"/>
          <w:bCs w:val="0"/>
        </w:rPr>
        <w:t>本项目是一家尚未正常开展生产经营的企业，历史资料较易获得、项目较少、财务账册齐全，因此本次评估将资产基础法作为主要的评估方法。</w:t>
      </w:r>
    </w:p>
    <w:p>
      <w:pPr>
        <w:pStyle w:val="343"/>
        <w:pageBreakBefore w:val="0"/>
        <w:widowControl w:val="0"/>
        <w:kinsoku/>
        <w:wordWrap/>
        <w:overflowPunct/>
        <w:topLinePunct w:val="0"/>
        <w:autoSpaceDE/>
        <w:autoSpaceDN/>
        <w:bidi w:val="0"/>
        <w:adjustRightInd/>
        <w:snapToGrid/>
        <w:spacing w:before="156" w:beforeLines="50" w:after="156" w:afterLines="50" w:line="480" w:lineRule="exact"/>
        <w:ind w:left="0" w:firstLine="0"/>
        <w:contextualSpacing/>
        <w:jc w:val="left"/>
        <w:rPr>
          <w:rFonts w:ascii="仿宋" w:hAnsi="仿宋" w:eastAsia="仿宋" w:cs="仿宋"/>
        </w:rPr>
      </w:pPr>
      <w:r>
        <w:rPr>
          <w:rFonts w:hint="eastAsia" w:ascii="仿宋" w:hAnsi="仿宋" w:eastAsia="仿宋" w:cs="仿宋"/>
        </w:rPr>
        <w:t>一、</w:t>
      </w:r>
      <w:bookmarkEnd w:id="52"/>
      <w:bookmarkEnd w:id="53"/>
      <w:bookmarkEnd w:id="54"/>
      <w:bookmarkEnd w:id="55"/>
      <w:bookmarkEnd w:id="56"/>
      <w:bookmarkEnd w:id="57"/>
      <w:bookmarkEnd w:id="58"/>
      <w:bookmarkStart w:id="59" w:name="_Toc447232038"/>
      <w:bookmarkStart w:id="60" w:name="_Toc171966014"/>
      <w:bookmarkStart w:id="61" w:name="_Toc7705"/>
      <w:bookmarkStart w:id="62" w:name="_Toc459197185"/>
      <w:bookmarkStart w:id="63" w:name="_Toc485741044"/>
      <w:bookmarkStart w:id="64" w:name="_Toc427311239"/>
      <w:bookmarkStart w:id="65" w:name="_Toc532812674"/>
      <w:bookmarkStart w:id="66" w:name="_Toc445108019"/>
      <w:bookmarkStart w:id="67" w:name="_Toc451863922"/>
      <w:bookmarkStart w:id="68" w:name="_Toc66977046"/>
      <w:bookmarkStart w:id="69" w:name="_Toc51388336"/>
      <w:r>
        <w:rPr>
          <w:rFonts w:hint="eastAsia" w:ascii="仿宋" w:hAnsi="仿宋" w:eastAsia="仿宋" w:cs="仿宋"/>
        </w:rPr>
        <w:t>非流动资产评估技术说明</w:t>
      </w:r>
    </w:p>
    <w:bookmarkEnd w:id="59"/>
    <w:bookmarkEnd w:id="60"/>
    <w:bookmarkEnd w:id="61"/>
    <w:bookmarkEnd w:id="62"/>
    <w:bookmarkEnd w:id="63"/>
    <w:bookmarkEnd w:id="64"/>
    <w:bookmarkEnd w:id="65"/>
    <w:p>
      <w:pPr>
        <w:pStyle w:val="3"/>
        <w:pageBreakBefore w:val="0"/>
        <w:widowControl w:val="0"/>
        <w:kinsoku/>
        <w:wordWrap/>
        <w:overflowPunct/>
        <w:topLinePunct w:val="0"/>
        <w:autoSpaceDE/>
        <w:autoSpaceDN/>
        <w:bidi w:val="0"/>
        <w:adjustRightInd/>
        <w:snapToGrid/>
        <w:spacing w:before="0" w:after="0" w:line="480" w:lineRule="exact"/>
        <w:ind w:left="0" w:firstLine="560" w:firstLineChars="200"/>
        <w:contextualSpacing/>
        <w:rPr>
          <w:rFonts w:ascii="仿宋" w:hAnsi="仿宋" w:eastAsia="仿宋" w:cs="仿宋"/>
          <w:sz w:val="28"/>
          <w:szCs w:val="28"/>
        </w:rPr>
      </w:pPr>
      <w:bookmarkStart w:id="70" w:name="_Toc20903"/>
      <w:r>
        <w:rPr>
          <w:rFonts w:hint="eastAsia" w:ascii="仿宋" w:hAnsi="仿宋" w:eastAsia="仿宋" w:cs="仿宋"/>
          <w:sz w:val="28"/>
          <w:szCs w:val="28"/>
        </w:rPr>
        <w:t>（一）评估范围</w:t>
      </w:r>
      <w:bookmarkEnd w:id="70"/>
    </w:p>
    <w:p>
      <w:pPr>
        <w:pStyle w:val="27"/>
        <w:pageBreakBefore w:val="0"/>
        <w:widowControl w:val="0"/>
        <w:kinsoku/>
        <w:wordWrap/>
        <w:overflowPunct/>
        <w:topLinePunct w:val="0"/>
        <w:autoSpaceDE/>
        <w:autoSpaceDN/>
        <w:bidi w:val="0"/>
        <w:adjustRightInd/>
        <w:snapToGrid/>
        <w:spacing w:line="480" w:lineRule="exact"/>
        <w:ind w:firstLine="560" w:firstLineChars="200"/>
        <w:contextualSpacing/>
        <w:jc w:val="both"/>
        <w:rPr>
          <w:rFonts w:ascii="仿宋" w:hAnsi="仿宋" w:eastAsia="仿宋" w:cs="仿宋"/>
          <w:sz w:val="28"/>
        </w:rPr>
      </w:pPr>
      <w:r>
        <w:rPr>
          <w:rFonts w:hint="eastAsia" w:ascii="仿宋" w:hAnsi="仿宋" w:eastAsia="仿宋" w:cs="仿宋"/>
          <w:sz w:val="28"/>
        </w:rPr>
        <w:t>江苏焦点粮食储运有限公司所申报的非流动资产类资产主要为在建工程和无形资产。</w:t>
      </w:r>
    </w:p>
    <w:p>
      <w:pPr>
        <w:pStyle w:val="3"/>
        <w:pageBreakBefore w:val="0"/>
        <w:widowControl w:val="0"/>
        <w:numPr>
          <w:ilvl w:val="0"/>
          <w:numId w:val="7"/>
        </w:numPr>
        <w:kinsoku/>
        <w:wordWrap/>
        <w:overflowPunct/>
        <w:topLinePunct w:val="0"/>
        <w:autoSpaceDE/>
        <w:autoSpaceDN/>
        <w:bidi w:val="0"/>
        <w:adjustRightInd/>
        <w:snapToGrid/>
        <w:spacing w:before="0" w:after="0" w:line="480" w:lineRule="exact"/>
        <w:ind w:left="0" w:firstLine="560" w:firstLineChars="200"/>
        <w:contextualSpacing/>
        <w:rPr>
          <w:rFonts w:ascii="仿宋" w:hAnsi="仿宋" w:eastAsia="仿宋" w:cs="仿宋"/>
          <w:sz w:val="28"/>
          <w:szCs w:val="28"/>
        </w:rPr>
      </w:pPr>
      <w:bookmarkStart w:id="71" w:name="_Toc700"/>
      <w:r>
        <w:rPr>
          <w:rFonts w:hint="eastAsia" w:ascii="仿宋" w:hAnsi="仿宋" w:eastAsia="仿宋" w:cs="仿宋"/>
          <w:sz w:val="28"/>
          <w:szCs w:val="28"/>
        </w:rPr>
        <w:t>资产概况</w:t>
      </w:r>
      <w:bookmarkEnd w:id="71"/>
    </w:p>
    <w:p>
      <w:pPr>
        <w:pageBreakBefore w:val="0"/>
        <w:widowControl w:val="0"/>
        <w:numPr>
          <w:ilvl w:val="0"/>
          <w:numId w:val="8"/>
        </w:numPr>
        <w:kinsoku/>
        <w:wordWrap/>
        <w:overflowPunct/>
        <w:topLinePunct w:val="0"/>
        <w:autoSpaceDE/>
        <w:autoSpaceDN/>
        <w:bidi w:val="0"/>
        <w:adjustRightInd/>
        <w:snapToGrid/>
        <w:spacing w:line="480" w:lineRule="exact"/>
        <w:ind w:firstLine="420"/>
        <w:rPr>
          <w:rFonts w:ascii="仿宋" w:hAnsi="仿宋" w:eastAsia="仿宋" w:cs="仿宋"/>
          <w:kern w:val="0"/>
          <w:sz w:val="28"/>
          <w:szCs w:val="20"/>
        </w:rPr>
      </w:pPr>
      <w:r>
        <w:rPr>
          <w:rFonts w:hint="eastAsia" w:ascii="仿宋" w:hAnsi="仿宋" w:eastAsia="仿宋" w:cs="仿宋"/>
          <w:kern w:val="0"/>
          <w:sz w:val="28"/>
          <w:szCs w:val="20"/>
        </w:rPr>
        <w:t>其他应收款</w:t>
      </w:r>
    </w:p>
    <w:p>
      <w:pPr>
        <w:pageBreakBefore w:val="0"/>
        <w:widowControl w:val="0"/>
        <w:kinsoku/>
        <w:wordWrap/>
        <w:overflowPunct/>
        <w:topLinePunct w:val="0"/>
        <w:autoSpaceDE/>
        <w:autoSpaceDN/>
        <w:bidi w:val="0"/>
        <w:adjustRightInd/>
        <w:snapToGrid/>
        <w:spacing w:line="480" w:lineRule="exact"/>
        <w:ind w:firstLine="560" w:firstLineChars="200"/>
        <w:rPr>
          <w:rFonts w:hint="eastAsia" w:ascii="仿宋" w:hAnsi="仿宋" w:eastAsia="仿宋" w:cs="仿宋"/>
          <w:kern w:val="0"/>
          <w:sz w:val="28"/>
          <w:szCs w:val="20"/>
        </w:rPr>
      </w:pPr>
      <w:bookmarkStart w:id="72" w:name="_Hlk46435637"/>
      <w:r>
        <w:rPr>
          <w:rFonts w:hint="eastAsia" w:ascii="仿宋" w:hAnsi="仿宋" w:eastAsia="仿宋" w:cs="仿宋"/>
          <w:sz w:val="28"/>
          <w:szCs w:val="28"/>
        </w:rPr>
        <w:t>截止2020年06月30日,其他应收款为江苏焦点农业科技有限公司的欠款1</w:t>
      </w:r>
      <w:r>
        <w:rPr>
          <w:rFonts w:ascii="仿宋" w:hAnsi="仿宋" w:eastAsia="仿宋" w:cs="仿宋"/>
          <w:sz w:val="28"/>
          <w:szCs w:val="28"/>
        </w:rPr>
        <w:t>,183,089.39</w:t>
      </w:r>
      <w:r>
        <w:rPr>
          <w:rFonts w:hint="eastAsia" w:ascii="仿宋" w:hAnsi="仿宋" w:eastAsia="仿宋" w:cs="仿宋"/>
          <w:sz w:val="28"/>
          <w:szCs w:val="28"/>
        </w:rPr>
        <w:t>元。</w:t>
      </w:r>
    </w:p>
    <w:bookmarkEnd w:id="72"/>
    <w:p>
      <w:pPr>
        <w:pageBreakBefore w:val="0"/>
        <w:widowControl w:val="0"/>
        <w:numPr>
          <w:ilvl w:val="0"/>
          <w:numId w:val="8"/>
        </w:numPr>
        <w:kinsoku/>
        <w:wordWrap/>
        <w:overflowPunct/>
        <w:topLinePunct w:val="0"/>
        <w:autoSpaceDE/>
        <w:autoSpaceDN/>
        <w:bidi w:val="0"/>
        <w:adjustRightInd/>
        <w:snapToGrid/>
        <w:spacing w:line="480" w:lineRule="exact"/>
        <w:ind w:firstLine="420"/>
        <w:rPr>
          <w:rFonts w:ascii="仿宋" w:hAnsi="仿宋" w:eastAsia="仿宋" w:cs="仿宋"/>
          <w:kern w:val="0"/>
          <w:sz w:val="28"/>
          <w:szCs w:val="20"/>
        </w:rPr>
      </w:pPr>
      <w:r>
        <w:rPr>
          <w:rFonts w:hint="eastAsia" w:ascii="仿宋" w:hAnsi="仿宋" w:eastAsia="仿宋" w:cs="仿宋"/>
          <w:kern w:val="0"/>
          <w:sz w:val="28"/>
          <w:szCs w:val="20"/>
        </w:rPr>
        <w:t>在建工程</w:t>
      </w:r>
    </w:p>
    <w:tbl>
      <w:tblPr>
        <w:tblStyle w:val="55"/>
        <w:tblW w:w="7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7"/>
        <w:gridCol w:w="2625"/>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2625"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账面金额（元）</w:t>
            </w:r>
          </w:p>
        </w:tc>
        <w:tc>
          <w:tcPr>
            <w:tcW w:w="2065" w:type="dxa"/>
          </w:tcPr>
          <w:p>
            <w:pPr>
              <w:spacing w:before="156" w:beforeLines="50"/>
              <w:jc w:val="center"/>
              <w:rPr>
                <w:rFonts w:ascii="仿宋" w:hAnsi="仿宋" w:eastAsia="仿宋" w:cs="仿宋"/>
                <w:b/>
                <w:bCs/>
                <w:sz w:val="21"/>
                <w:szCs w:val="21"/>
                <w:lang w:bidi="en-US"/>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237"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江苏焦点粮食仓储物流项目</w:t>
            </w:r>
          </w:p>
        </w:tc>
        <w:tc>
          <w:tcPr>
            <w:tcW w:w="2625"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989,039.00</w:t>
            </w:r>
          </w:p>
        </w:tc>
        <w:tc>
          <w:tcPr>
            <w:tcW w:w="2065" w:type="dxa"/>
          </w:tcPr>
          <w:p>
            <w:pPr>
              <w:spacing w:before="156" w:beforeLines="50"/>
              <w:jc w:val="center"/>
              <w:rPr>
                <w:rFonts w:ascii="仿宋" w:hAnsi="仿宋" w:eastAsia="仿宋" w:cs="仿宋"/>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合计</w:t>
            </w:r>
          </w:p>
        </w:tc>
        <w:tc>
          <w:tcPr>
            <w:tcW w:w="2625"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989,039.00</w:t>
            </w:r>
          </w:p>
        </w:tc>
        <w:tc>
          <w:tcPr>
            <w:tcW w:w="2065" w:type="dxa"/>
          </w:tcPr>
          <w:p>
            <w:pPr>
              <w:spacing w:before="156" w:beforeLines="50"/>
              <w:jc w:val="center"/>
              <w:rPr>
                <w:rFonts w:ascii="仿宋" w:hAnsi="仿宋" w:eastAsia="仿宋" w:cs="仿宋"/>
                <w:sz w:val="21"/>
                <w:szCs w:val="21"/>
                <w:lang w:bidi="en-US"/>
              </w:rPr>
            </w:pPr>
          </w:p>
        </w:tc>
      </w:tr>
    </w:tbl>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、无形资产</w:t>
      </w:r>
    </w:p>
    <w:tbl>
      <w:tblPr>
        <w:tblStyle w:val="55"/>
        <w:tblW w:w="7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3"/>
        <w:gridCol w:w="261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2610"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账面金额（元）</w:t>
            </w:r>
          </w:p>
        </w:tc>
        <w:tc>
          <w:tcPr>
            <w:tcW w:w="2046" w:type="dxa"/>
          </w:tcPr>
          <w:p>
            <w:pPr>
              <w:spacing w:before="156" w:beforeLines="50"/>
              <w:jc w:val="center"/>
              <w:rPr>
                <w:rFonts w:ascii="仿宋" w:hAnsi="仿宋" w:eastAsia="仿宋" w:cs="仿宋"/>
                <w:b/>
                <w:bCs/>
                <w:sz w:val="21"/>
                <w:szCs w:val="21"/>
                <w:lang w:bidi="en-US"/>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tcPr>
          <w:p>
            <w:pPr>
              <w:spacing w:before="156" w:beforeLines="50"/>
              <w:jc w:val="center"/>
              <w:rPr>
                <w:rFonts w:ascii="仿宋" w:hAnsi="仿宋" w:eastAsia="仿宋" w:cs="仿宋"/>
                <w:sz w:val="21"/>
                <w:szCs w:val="21"/>
              </w:rPr>
            </w:pPr>
            <w:r>
              <w:rPr>
                <w:rFonts w:hint="eastAsia" w:ascii="仿宋" w:hAnsi="仿宋" w:eastAsia="仿宋" w:cs="仿宋"/>
                <w:b/>
                <w:bCs/>
                <w:sz w:val="21"/>
                <w:szCs w:val="21"/>
              </w:rPr>
              <w:t>土地</w:t>
            </w:r>
          </w:p>
        </w:tc>
        <w:tc>
          <w:tcPr>
            <w:tcW w:w="2610"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10,688,281.49</w:t>
            </w:r>
          </w:p>
        </w:tc>
        <w:tc>
          <w:tcPr>
            <w:tcW w:w="2046" w:type="dxa"/>
          </w:tcPr>
          <w:p>
            <w:pPr>
              <w:spacing w:before="156" w:beforeLines="50"/>
              <w:jc w:val="center"/>
              <w:rPr>
                <w:rFonts w:ascii="仿宋" w:hAnsi="仿宋" w:eastAsia="仿宋" w:cs="仿宋"/>
                <w:sz w:val="21"/>
                <w:szCs w:val="21"/>
                <w:lang w:bidi="en-US"/>
              </w:rPr>
            </w:pPr>
          </w:p>
        </w:tc>
      </w:tr>
    </w:tbl>
    <w:p>
      <w:pPr>
        <w:pStyle w:val="3"/>
        <w:adjustRightInd/>
        <w:spacing w:before="0" w:after="0" w:line="360" w:lineRule="auto"/>
        <w:ind w:left="0" w:firstLine="560" w:firstLineChars="200"/>
        <w:contextualSpacing/>
        <w:rPr>
          <w:rFonts w:ascii="仿宋" w:hAnsi="仿宋" w:eastAsia="仿宋" w:cs="仿宋"/>
          <w:sz w:val="28"/>
          <w:szCs w:val="28"/>
        </w:rPr>
      </w:pPr>
      <w:bookmarkStart w:id="73" w:name="_Toc1133"/>
      <w:r>
        <w:rPr>
          <w:rFonts w:hint="eastAsia" w:ascii="仿宋" w:hAnsi="仿宋" w:eastAsia="仿宋" w:cs="仿宋"/>
          <w:sz w:val="28"/>
          <w:szCs w:val="28"/>
        </w:rPr>
        <w:t>（三）评估依据</w:t>
      </w:r>
      <w:bookmarkEnd w:id="73"/>
    </w:p>
    <w:p>
      <w:pPr>
        <w:spacing w:line="480" w:lineRule="exact"/>
        <w:ind w:firstLine="539"/>
        <w:contextualSpacing/>
        <w:rPr>
          <w:rFonts w:ascii="仿宋" w:hAnsi="仿宋" w:eastAsia="仿宋" w:cs="仿宋"/>
          <w:sz w:val="28"/>
        </w:rPr>
      </w:pPr>
      <w:r>
        <w:rPr>
          <w:rFonts w:hint="eastAsia" w:ascii="仿宋" w:hAnsi="仿宋" w:eastAsia="仿宋" w:cs="仿宋"/>
          <w:sz w:val="28"/>
        </w:rPr>
        <w:t>1.江苏焦点粮食储运有限公司提供的文件、产权证明；</w:t>
      </w:r>
    </w:p>
    <w:tbl>
      <w:tblPr>
        <w:tblStyle w:val="55"/>
        <w:tblpPr w:leftFromText="180" w:rightFromText="180" w:vertAnchor="text" w:horzAnchor="page" w:tblpX="1605" w:tblpY="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2520"/>
        <w:gridCol w:w="1245"/>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不动产权证号</w:t>
            </w:r>
          </w:p>
        </w:tc>
        <w:tc>
          <w:tcPr>
            <w:tcW w:w="7138" w:type="dxa"/>
            <w:gridSpan w:val="3"/>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苏（2018）大丰区不动产要第0014909号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权利人</w:t>
            </w:r>
          </w:p>
        </w:tc>
        <w:tc>
          <w:tcPr>
            <w:tcW w:w="7138" w:type="dxa"/>
            <w:gridSpan w:val="3"/>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江苏焦点农业粮食储运有限公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坐落</w:t>
            </w:r>
          </w:p>
        </w:tc>
        <w:tc>
          <w:tcPr>
            <w:tcW w:w="7138" w:type="dxa"/>
            <w:gridSpan w:val="3"/>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盐城市大丰区三龙镇龙南村二组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不动产单元号</w:t>
            </w:r>
          </w:p>
        </w:tc>
        <w:tc>
          <w:tcPr>
            <w:tcW w:w="7138" w:type="dxa"/>
            <w:gridSpan w:val="3"/>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320982112203GB00015W00000000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权利类型</w:t>
            </w:r>
          </w:p>
        </w:tc>
        <w:tc>
          <w:tcPr>
            <w:tcW w:w="2520" w:type="dxa"/>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国有建设用地使用权</w:t>
            </w:r>
          </w:p>
        </w:tc>
        <w:tc>
          <w:tcPr>
            <w:tcW w:w="12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权利性质</w:t>
            </w:r>
          </w:p>
        </w:tc>
        <w:tc>
          <w:tcPr>
            <w:tcW w:w="3373" w:type="dxa"/>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出让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用途</w:t>
            </w:r>
          </w:p>
        </w:tc>
        <w:tc>
          <w:tcPr>
            <w:tcW w:w="2520" w:type="dxa"/>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工业用地</w:t>
            </w:r>
          </w:p>
        </w:tc>
        <w:tc>
          <w:tcPr>
            <w:tcW w:w="12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面积</w:t>
            </w:r>
          </w:p>
        </w:tc>
        <w:tc>
          <w:tcPr>
            <w:tcW w:w="3373" w:type="dxa"/>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64401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使用期限</w:t>
            </w:r>
          </w:p>
        </w:tc>
        <w:tc>
          <w:tcPr>
            <w:tcW w:w="2520" w:type="dxa"/>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2068年06月21日止</w:t>
            </w:r>
          </w:p>
        </w:tc>
        <w:tc>
          <w:tcPr>
            <w:tcW w:w="12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附记</w:t>
            </w:r>
          </w:p>
        </w:tc>
        <w:tc>
          <w:tcPr>
            <w:tcW w:w="3373" w:type="dxa"/>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该证有效期至2020年7月2日</w:t>
            </w:r>
          </w:p>
        </w:tc>
      </w:tr>
    </w:tbl>
    <w:p>
      <w:pPr>
        <w:spacing w:line="480" w:lineRule="exact"/>
        <w:ind w:left="525"/>
        <w:contextualSpacing/>
        <w:rPr>
          <w:rFonts w:ascii="仿宋" w:hAnsi="仿宋" w:eastAsia="仿宋" w:cs="仿宋"/>
          <w:sz w:val="28"/>
        </w:rPr>
      </w:pPr>
      <w:r>
        <w:rPr>
          <w:rFonts w:hint="eastAsia" w:ascii="仿宋" w:hAnsi="仿宋" w:eastAsia="仿宋" w:cs="仿宋"/>
          <w:sz w:val="28"/>
        </w:rPr>
        <w:t>2.评估人员对评估对象进行勘察核实及技术鉴定记录；</w:t>
      </w:r>
    </w:p>
    <w:p>
      <w:pPr>
        <w:spacing w:line="480" w:lineRule="exact"/>
        <w:ind w:firstLine="539"/>
        <w:contextualSpacing/>
        <w:rPr>
          <w:rFonts w:ascii="仿宋" w:hAnsi="仿宋" w:eastAsia="仿宋" w:cs="仿宋"/>
          <w:sz w:val="28"/>
        </w:rPr>
      </w:pPr>
      <w:r>
        <w:rPr>
          <w:rFonts w:hint="eastAsia" w:ascii="仿宋" w:hAnsi="仿宋" w:eastAsia="仿宋" w:cs="仿宋"/>
          <w:sz w:val="28"/>
        </w:rPr>
        <w:t>3.评估人员通过网络查询的信息资料；</w:t>
      </w:r>
    </w:p>
    <w:p>
      <w:pPr>
        <w:spacing w:line="480" w:lineRule="exact"/>
        <w:ind w:firstLine="539"/>
        <w:contextualSpacing/>
        <w:rPr>
          <w:rFonts w:ascii="仿宋" w:hAnsi="仿宋" w:eastAsia="仿宋" w:cs="仿宋"/>
          <w:sz w:val="28"/>
        </w:rPr>
      </w:pPr>
      <w:r>
        <w:rPr>
          <w:rFonts w:hint="eastAsia" w:ascii="仿宋" w:hAnsi="仿宋" w:eastAsia="仿宋" w:cs="仿宋"/>
          <w:sz w:val="28"/>
        </w:rPr>
        <w:t>4.评估人员通过市场搜集的其他各种信息资料。</w:t>
      </w:r>
    </w:p>
    <w:p>
      <w:pPr>
        <w:pStyle w:val="3"/>
        <w:pageBreakBefore w:val="0"/>
        <w:widowControl w:val="0"/>
        <w:kinsoku/>
        <w:wordWrap/>
        <w:overflowPunct/>
        <w:topLinePunct w:val="0"/>
        <w:autoSpaceDE/>
        <w:autoSpaceDN/>
        <w:bidi w:val="0"/>
        <w:adjustRightInd/>
        <w:snapToGrid/>
        <w:spacing w:before="0" w:after="0" w:line="480" w:lineRule="exact"/>
        <w:ind w:left="0" w:firstLine="560" w:firstLineChars="200"/>
        <w:contextualSpacing/>
        <w:textAlignment w:val="auto"/>
        <w:rPr>
          <w:rFonts w:ascii="仿宋" w:hAnsi="仿宋" w:eastAsia="仿宋" w:cs="仿宋"/>
          <w:sz w:val="28"/>
          <w:szCs w:val="28"/>
        </w:rPr>
      </w:pPr>
      <w:bookmarkStart w:id="74" w:name="_Toc6142"/>
      <w:r>
        <w:rPr>
          <w:rFonts w:hint="eastAsia" w:ascii="仿宋" w:hAnsi="仿宋" w:eastAsia="仿宋" w:cs="仿宋"/>
          <w:sz w:val="28"/>
          <w:szCs w:val="28"/>
        </w:rPr>
        <w:t>（四）评估过程</w:t>
      </w:r>
      <w:bookmarkEnd w:id="74"/>
    </w:p>
    <w:p>
      <w:pPr>
        <w:pageBreakBefore w:val="0"/>
        <w:widowControl w:val="0"/>
        <w:kinsoku/>
        <w:wordWrap/>
        <w:overflowPunct/>
        <w:topLinePunct w:val="0"/>
        <w:autoSpaceDE/>
        <w:autoSpaceDN/>
        <w:bidi w:val="0"/>
        <w:adjustRightInd/>
        <w:snapToGrid/>
        <w:spacing w:line="480" w:lineRule="exact"/>
        <w:ind w:firstLine="560" w:firstLineChars="200"/>
        <w:contextualSpacing/>
        <w:textAlignment w:val="auto"/>
        <w:rPr>
          <w:rFonts w:ascii="仿宋" w:hAnsi="仿宋" w:eastAsia="仿宋" w:cs="仿宋"/>
          <w:sz w:val="28"/>
        </w:rPr>
      </w:pPr>
      <w:r>
        <w:rPr>
          <w:rFonts w:hint="eastAsia" w:ascii="仿宋" w:hAnsi="仿宋" w:eastAsia="仿宋" w:cs="仿宋"/>
          <w:sz w:val="28"/>
        </w:rPr>
        <w:t>1.评估准备阶段：</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ascii="仿宋" w:hAnsi="仿宋" w:eastAsia="仿宋" w:cs="仿宋"/>
          <w:sz w:val="28"/>
        </w:rPr>
      </w:pPr>
      <w:r>
        <w:rPr>
          <w:rFonts w:hint="eastAsia" w:ascii="仿宋" w:hAnsi="仿宋" w:eastAsia="仿宋" w:cs="仿宋"/>
          <w:sz w:val="28"/>
        </w:rPr>
        <w:t>根据被评估企业提供的非流动资产类资产评估申报明细表，首先与被评估企业的资产负债表相应科目核对使总金额相符；然后于被评估企业的设备资产明细表、台账核对，使其明细金额及内容相符，做到账表相符。</w:t>
      </w:r>
    </w:p>
    <w:p>
      <w:pPr>
        <w:pageBreakBefore w:val="0"/>
        <w:widowControl w:val="0"/>
        <w:kinsoku/>
        <w:wordWrap/>
        <w:overflowPunct/>
        <w:topLinePunct w:val="0"/>
        <w:autoSpaceDE/>
        <w:autoSpaceDN/>
        <w:bidi w:val="0"/>
        <w:adjustRightInd/>
        <w:snapToGrid/>
        <w:spacing w:line="480" w:lineRule="exact"/>
        <w:ind w:firstLine="560" w:firstLineChars="200"/>
        <w:contextualSpacing/>
        <w:textAlignment w:val="auto"/>
        <w:rPr>
          <w:rFonts w:ascii="仿宋" w:hAnsi="仿宋" w:eastAsia="仿宋" w:cs="仿宋"/>
          <w:sz w:val="28"/>
        </w:rPr>
      </w:pPr>
      <w:r>
        <w:rPr>
          <w:rFonts w:hint="eastAsia" w:ascii="仿宋" w:hAnsi="仿宋" w:eastAsia="仿宋" w:cs="仿宋"/>
          <w:sz w:val="28"/>
        </w:rPr>
        <w:t>2.现场调查阶段：</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1 \* GB3 </w:instrText>
      </w:r>
      <w:r>
        <w:rPr>
          <w:rFonts w:hint="eastAsia" w:ascii="仿宋" w:hAnsi="仿宋" w:eastAsia="仿宋" w:cs="仿宋"/>
          <w:sz w:val="28"/>
        </w:rPr>
        <w:fldChar w:fldCharType="separate"/>
      </w:r>
      <w:r>
        <w:rPr>
          <w:rFonts w:hint="eastAsia" w:ascii="仿宋" w:hAnsi="仿宋" w:eastAsia="仿宋" w:cs="仿宋"/>
          <w:sz w:val="28"/>
        </w:rPr>
        <w:t>①</w:t>
      </w:r>
      <w:r>
        <w:rPr>
          <w:rFonts w:hint="eastAsia" w:ascii="仿宋" w:hAnsi="仿宋" w:eastAsia="仿宋" w:cs="仿宋"/>
          <w:sz w:val="28"/>
        </w:rPr>
        <w:fldChar w:fldCharType="end"/>
      </w:r>
      <w:r>
        <w:rPr>
          <w:rFonts w:hint="eastAsia" w:ascii="仿宋" w:hAnsi="仿宋" w:eastAsia="仿宋" w:cs="仿宋"/>
          <w:sz w:val="28"/>
        </w:rPr>
        <w:t>根据江苏焦点粮食储运有限公司的具体情况，评估人员对其申报评估的资产进行现场调查核实；</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2 \* GB3 </w:instrText>
      </w:r>
      <w:r>
        <w:rPr>
          <w:rFonts w:hint="eastAsia" w:ascii="仿宋" w:hAnsi="仿宋" w:eastAsia="仿宋" w:cs="仿宋"/>
          <w:sz w:val="28"/>
        </w:rPr>
        <w:fldChar w:fldCharType="separate"/>
      </w:r>
      <w:r>
        <w:rPr>
          <w:rFonts w:hint="eastAsia" w:ascii="仿宋" w:hAnsi="仿宋" w:eastAsia="仿宋" w:cs="仿宋"/>
          <w:sz w:val="28"/>
        </w:rPr>
        <w:t>②</w:t>
      </w:r>
      <w:r>
        <w:rPr>
          <w:rFonts w:hint="eastAsia" w:ascii="仿宋" w:hAnsi="仿宋" w:eastAsia="仿宋" w:cs="仿宋"/>
          <w:sz w:val="28"/>
        </w:rPr>
        <w:fldChar w:fldCharType="end"/>
      </w:r>
      <w:r>
        <w:rPr>
          <w:rFonts w:hint="eastAsia" w:ascii="仿宋" w:hAnsi="仿宋" w:eastAsia="仿宋" w:cs="仿宋"/>
          <w:sz w:val="28"/>
        </w:rPr>
        <w:t>评估人员在现场进行了勘察、核实，对清查中发现的问题，评估人员进行了详细记录；</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3 \* GB3 </w:instrText>
      </w:r>
      <w:r>
        <w:rPr>
          <w:rFonts w:hint="eastAsia" w:ascii="仿宋" w:hAnsi="仿宋" w:eastAsia="仿宋" w:cs="仿宋"/>
          <w:sz w:val="28"/>
        </w:rPr>
        <w:fldChar w:fldCharType="separate"/>
      </w:r>
      <w:r>
        <w:rPr>
          <w:rFonts w:hint="eastAsia" w:ascii="仿宋" w:hAnsi="仿宋" w:eastAsia="仿宋" w:cs="仿宋"/>
          <w:sz w:val="28"/>
        </w:rPr>
        <w:t>③</w:t>
      </w:r>
      <w:r>
        <w:rPr>
          <w:rFonts w:hint="eastAsia" w:ascii="仿宋" w:hAnsi="仿宋" w:eastAsia="仿宋" w:cs="仿宋"/>
          <w:sz w:val="28"/>
        </w:rPr>
        <w:fldChar w:fldCharType="end"/>
      </w:r>
      <w:r>
        <w:rPr>
          <w:rFonts w:hint="eastAsia" w:ascii="仿宋" w:hAnsi="仿宋" w:eastAsia="仿宋" w:cs="仿宋"/>
          <w:sz w:val="28"/>
        </w:rPr>
        <w:t>评估人员现场向管理人员了解委估资产情况，对于重点进行了现场鉴定，查阅了相关的文件；</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ascii="仿宋" w:hAnsi="仿宋" w:eastAsia="仿宋" w:cs="仿宋"/>
          <w:sz w:val="28"/>
        </w:rPr>
      </w:pPr>
      <w:r>
        <w:rPr>
          <w:rFonts w:hint="eastAsia" w:ascii="仿宋" w:hAnsi="仿宋" w:eastAsia="仿宋" w:cs="仿宋"/>
          <w:sz w:val="28"/>
        </w:rPr>
        <w:t>3.综合处理阶段：</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1 \* GB3 </w:instrText>
      </w:r>
      <w:r>
        <w:rPr>
          <w:rFonts w:hint="eastAsia" w:ascii="仿宋" w:hAnsi="仿宋" w:eastAsia="仿宋" w:cs="仿宋"/>
          <w:sz w:val="28"/>
        </w:rPr>
        <w:fldChar w:fldCharType="separate"/>
      </w:r>
      <w:r>
        <w:rPr>
          <w:rFonts w:hint="eastAsia" w:ascii="仿宋" w:hAnsi="仿宋" w:eastAsia="仿宋" w:cs="仿宋"/>
          <w:sz w:val="28"/>
        </w:rPr>
        <w:t>①</w:t>
      </w:r>
      <w:r>
        <w:rPr>
          <w:rFonts w:hint="eastAsia" w:ascii="仿宋" w:hAnsi="仿宋" w:eastAsia="仿宋" w:cs="仿宋"/>
          <w:sz w:val="28"/>
        </w:rPr>
        <w:fldChar w:fldCharType="end"/>
      </w:r>
      <w:r>
        <w:rPr>
          <w:rFonts w:hint="eastAsia" w:ascii="仿宋" w:hAnsi="仿宋" w:eastAsia="仿宋" w:cs="仿宋"/>
          <w:sz w:val="28"/>
        </w:rPr>
        <w:t>了解相关合同、请款手续及取得的相关批文与证件，以确定相应的重置价值；</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2 \* GB3 </w:instrText>
      </w:r>
      <w:r>
        <w:rPr>
          <w:rFonts w:hint="eastAsia" w:ascii="仿宋" w:hAnsi="仿宋" w:eastAsia="仿宋" w:cs="仿宋"/>
          <w:sz w:val="28"/>
        </w:rPr>
        <w:fldChar w:fldCharType="separate"/>
      </w:r>
      <w:r>
        <w:rPr>
          <w:rFonts w:hint="eastAsia" w:ascii="仿宋" w:hAnsi="仿宋" w:eastAsia="仿宋" w:cs="仿宋"/>
          <w:sz w:val="28"/>
        </w:rPr>
        <w:t>②</w:t>
      </w:r>
      <w:r>
        <w:rPr>
          <w:rFonts w:hint="eastAsia" w:ascii="仿宋" w:hAnsi="仿宋" w:eastAsia="仿宋" w:cs="仿宋"/>
          <w:sz w:val="28"/>
        </w:rPr>
        <w:fldChar w:fldCharType="end"/>
      </w:r>
      <w:r>
        <w:rPr>
          <w:rFonts w:hint="eastAsia" w:ascii="仿宋" w:hAnsi="仿宋" w:eastAsia="仿宋" w:cs="仿宋"/>
          <w:sz w:val="28"/>
        </w:rPr>
        <w:t>现场核实情况；</w:t>
      </w:r>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3 \* GB3 </w:instrText>
      </w:r>
      <w:r>
        <w:rPr>
          <w:rFonts w:hint="eastAsia" w:ascii="仿宋" w:hAnsi="仿宋" w:eastAsia="仿宋" w:cs="仿宋"/>
          <w:sz w:val="28"/>
        </w:rPr>
        <w:fldChar w:fldCharType="separate"/>
      </w:r>
      <w:r>
        <w:rPr>
          <w:rFonts w:hint="eastAsia" w:ascii="仿宋" w:hAnsi="仿宋" w:eastAsia="仿宋" w:cs="仿宋"/>
          <w:sz w:val="28"/>
        </w:rPr>
        <w:t>③</w:t>
      </w:r>
      <w:r>
        <w:rPr>
          <w:rFonts w:hint="eastAsia" w:ascii="仿宋" w:hAnsi="仿宋" w:eastAsia="仿宋" w:cs="仿宋"/>
          <w:sz w:val="28"/>
        </w:rPr>
        <w:fldChar w:fldCharType="end"/>
      </w:r>
      <w:r>
        <w:rPr>
          <w:rFonts w:hint="eastAsia" w:ascii="仿宋" w:hAnsi="仿宋" w:eastAsia="仿宋" w:cs="仿宋"/>
          <w:sz w:val="28"/>
        </w:rPr>
        <w:t>根据现状及相关资料，采用比较法对土地价值进行了评估；</w:t>
      </w:r>
    </w:p>
    <w:p>
      <w:pPr>
        <w:pageBreakBefore w:val="0"/>
        <w:widowControl w:val="0"/>
        <w:kinsoku/>
        <w:wordWrap/>
        <w:overflowPunct/>
        <w:topLinePunct w:val="0"/>
        <w:autoSpaceDE/>
        <w:autoSpaceDN/>
        <w:bidi w:val="0"/>
        <w:adjustRightInd/>
        <w:snapToGrid/>
        <w:spacing w:line="480" w:lineRule="exact"/>
        <w:ind w:firstLine="560" w:firstLineChars="200"/>
        <w:contextualSpacing/>
        <w:textAlignment w:val="auto"/>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4 \* GB3 </w:instrText>
      </w:r>
      <w:r>
        <w:rPr>
          <w:rFonts w:hint="eastAsia" w:ascii="仿宋" w:hAnsi="仿宋" w:eastAsia="仿宋" w:cs="仿宋"/>
          <w:sz w:val="28"/>
        </w:rPr>
        <w:fldChar w:fldCharType="separate"/>
      </w:r>
      <w:r>
        <w:rPr>
          <w:rFonts w:hint="eastAsia" w:ascii="仿宋" w:hAnsi="仿宋" w:eastAsia="仿宋" w:cs="仿宋"/>
          <w:sz w:val="28"/>
        </w:rPr>
        <w:t>④</w:t>
      </w:r>
      <w:r>
        <w:rPr>
          <w:rFonts w:hint="eastAsia" w:ascii="仿宋" w:hAnsi="仿宋" w:eastAsia="仿宋" w:cs="仿宋"/>
          <w:sz w:val="28"/>
        </w:rPr>
        <w:fldChar w:fldCharType="end"/>
      </w:r>
      <w:r>
        <w:rPr>
          <w:rFonts w:hint="eastAsia" w:ascii="仿宋" w:hAnsi="仿宋" w:eastAsia="仿宋" w:cs="仿宋"/>
          <w:sz w:val="28"/>
        </w:rPr>
        <w:t>汇总评估结果并编写评估说明。</w:t>
      </w:r>
    </w:p>
    <w:p>
      <w:pPr>
        <w:pStyle w:val="3"/>
        <w:pageBreakBefore w:val="0"/>
        <w:widowControl w:val="0"/>
        <w:kinsoku/>
        <w:wordWrap/>
        <w:overflowPunct/>
        <w:topLinePunct w:val="0"/>
        <w:autoSpaceDE/>
        <w:autoSpaceDN/>
        <w:bidi w:val="0"/>
        <w:adjustRightInd/>
        <w:snapToGrid/>
        <w:spacing w:before="0" w:after="0" w:line="480" w:lineRule="exact"/>
        <w:ind w:left="0" w:firstLine="560" w:firstLineChars="200"/>
        <w:contextualSpacing/>
        <w:textAlignment w:val="auto"/>
        <w:rPr>
          <w:rFonts w:ascii="仿宋" w:hAnsi="仿宋" w:eastAsia="仿宋" w:cs="仿宋"/>
          <w:sz w:val="28"/>
          <w:szCs w:val="28"/>
        </w:rPr>
      </w:pPr>
      <w:bookmarkStart w:id="75" w:name="_Toc19731"/>
      <w:r>
        <w:rPr>
          <w:rFonts w:hint="eastAsia" w:ascii="仿宋" w:hAnsi="仿宋" w:eastAsia="仿宋" w:cs="仿宋"/>
          <w:sz w:val="28"/>
          <w:szCs w:val="28"/>
        </w:rPr>
        <w:t>（五）评估方法</w:t>
      </w:r>
      <w:bookmarkEnd w:id="75"/>
    </w:p>
    <w:p>
      <w:pPr>
        <w:pageBreakBefore w:val="0"/>
        <w:widowControl w:val="0"/>
        <w:kinsoku/>
        <w:wordWrap/>
        <w:overflowPunct/>
        <w:topLinePunct w:val="0"/>
        <w:autoSpaceDE/>
        <w:autoSpaceDN/>
        <w:bidi w:val="0"/>
        <w:adjustRightInd/>
        <w:snapToGrid/>
        <w:spacing w:line="480" w:lineRule="exact"/>
        <w:ind w:firstLine="539"/>
        <w:contextualSpacing/>
        <w:textAlignment w:val="auto"/>
        <w:rPr>
          <w:rFonts w:ascii="仿宋" w:hAnsi="仿宋" w:eastAsia="仿宋" w:cs="仿宋"/>
          <w:sz w:val="28"/>
        </w:rPr>
      </w:pPr>
      <w:r>
        <w:rPr>
          <w:rFonts w:hint="eastAsia" w:ascii="仿宋" w:hAnsi="仿宋" w:eastAsia="仿宋" w:cs="仿宋"/>
          <w:sz w:val="28"/>
        </w:rPr>
        <w:t>根据评估目的和被评估资产的特点，对在建工程主要采用重置成本法进行评估；对</w:t>
      </w:r>
      <w:bookmarkStart w:id="76" w:name="_Hlk46087530"/>
      <w:r>
        <w:rPr>
          <w:rFonts w:hint="eastAsia" w:ascii="仿宋" w:hAnsi="仿宋" w:eastAsia="仿宋" w:cs="仿宋"/>
          <w:sz w:val="28"/>
        </w:rPr>
        <w:t>土地使用权价值</w:t>
      </w:r>
      <w:bookmarkEnd w:id="76"/>
      <w:r>
        <w:rPr>
          <w:rFonts w:hint="eastAsia" w:ascii="仿宋" w:hAnsi="仿宋" w:eastAsia="仿宋" w:cs="仿宋"/>
          <w:sz w:val="28"/>
        </w:rPr>
        <w:t>采用比较法进行评估。</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1、其他应收款</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0"/>
        </w:rPr>
      </w:pPr>
      <w:r>
        <w:rPr>
          <w:rFonts w:hint="eastAsia" w:ascii="仿宋" w:hAnsi="仿宋" w:eastAsia="仿宋" w:cs="仿宋"/>
          <w:sz w:val="28"/>
          <w:szCs w:val="28"/>
        </w:rPr>
        <w:t>截止2020年06月30日,</w:t>
      </w:r>
      <w:bookmarkStart w:id="77" w:name="_Hlk46435704"/>
      <w:r>
        <w:rPr>
          <w:rFonts w:hint="eastAsia" w:ascii="仿宋" w:hAnsi="仿宋" w:eastAsia="仿宋" w:cs="仿宋"/>
          <w:sz w:val="28"/>
          <w:szCs w:val="28"/>
        </w:rPr>
        <w:t>其他应收款为江苏焦点农业科技有限公司的欠款1</w:t>
      </w:r>
      <w:r>
        <w:rPr>
          <w:rFonts w:ascii="仿宋" w:hAnsi="仿宋" w:eastAsia="仿宋" w:cs="仿宋"/>
          <w:sz w:val="28"/>
          <w:szCs w:val="28"/>
        </w:rPr>
        <w:t>,183,089.39</w:t>
      </w:r>
      <w:r>
        <w:rPr>
          <w:rFonts w:hint="eastAsia" w:ascii="仿宋" w:hAnsi="仿宋" w:eastAsia="仿宋" w:cs="仿宋"/>
          <w:sz w:val="28"/>
          <w:szCs w:val="28"/>
        </w:rPr>
        <w:t>元</w:t>
      </w:r>
      <w:bookmarkEnd w:id="77"/>
      <w:r>
        <w:rPr>
          <w:rFonts w:hint="eastAsia" w:ascii="仿宋" w:hAnsi="仿宋" w:eastAsia="仿宋" w:cs="仿宋"/>
          <w:sz w:val="28"/>
          <w:szCs w:val="28"/>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经核实，</w:t>
      </w:r>
      <w:bookmarkStart w:id="78" w:name="_Hlk46435792"/>
      <w:r>
        <w:rPr>
          <w:rFonts w:hint="eastAsia" w:ascii="仿宋" w:hAnsi="仿宋" w:eastAsia="仿宋" w:cs="仿宋"/>
          <w:sz w:val="28"/>
          <w:szCs w:val="28"/>
        </w:rPr>
        <w:t>其他应收款</w:t>
      </w:r>
      <w:bookmarkEnd w:id="78"/>
      <w:r>
        <w:rPr>
          <w:rFonts w:hint="eastAsia" w:ascii="仿宋" w:hAnsi="仿宋" w:eastAsia="仿宋" w:cs="仿宋"/>
          <w:sz w:val="28"/>
          <w:szCs w:val="28"/>
        </w:rPr>
        <w:t>为江苏焦点农业科技有限公司的欠款</w:t>
      </w:r>
      <w:bookmarkStart w:id="79" w:name="_Hlk46435821"/>
      <w:r>
        <w:rPr>
          <w:rFonts w:hint="eastAsia" w:ascii="仿宋" w:hAnsi="仿宋" w:eastAsia="仿宋" w:cs="仿宋"/>
          <w:sz w:val="28"/>
          <w:szCs w:val="28"/>
        </w:rPr>
        <w:t>1</w:t>
      </w:r>
      <w:r>
        <w:rPr>
          <w:rFonts w:ascii="仿宋" w:hAnsi="仿宋" w:eastAsia="仿宋" w:cs="仿宋"/>
          <w:sz w:val="28"/>
          <w:szCs w:val="28"/>
        </w:rPr>
        <w:t>,183,089.39</w:t>
      </w:r>
      <w:r>
        <w:rPr>
          <w:rFonts w:hint="eastAsia" w:ascii="仿宋" w:hAnsi="仿宋" w:eastAsia="仿宋" w:cs="仿宋"/>
          <w:sz w:val="28"/>
          <w:szCs w:val="28"/>
        </w:rPr>
        <w:t>元</w:t>
      </w:r>
      <w:bookmarkEnd w:id="79"/>
      <w:r>
        <w:rPr>
          <w:rFonts w:hint="eastAsia" w:ascii="仿宋" w:hAnsi="仿宋" w:eastAsia="仿宋" w:cs="仿宋"/>
          <w:sz w:val="28"/>
          <w:szCs w:val="28"/>
        </w:rPr>
        <w:t>，该笔款项基本上</w:t>
      </w:r>
      <w:r>
        <w:rPr>
          <w:rFonts w:hint="eastAsia" w:ascii="仿宋" w:hAnsi="仿宋" w:eastAsia="仿宋" w:cs="仿宋"/>
          <w:sz w:val="28"/>
          <w:szCs w:val="28"/>
          <w:lang w:eastAsia="zh-CN"/>
        </w:rPr>
        <w:t>可以</w:t>
      </w:r>
      <w:r>
        <w:rPr>
          <w:rFonts w:hint="eastAsia" w:ascii="仿宋" w:hAnsi="仿宋" w:eastAsia="仿宋" w:cs="仿宋"/>
          <w:sz w:val="28"/>
          <w:szCs w:val="28"/>
        </w:rPr>
        <w:t>收回，本次评估值即为账面价值，即截止2020年06月30日其他应收款的评估值为1</w:t>
      </w:r>
      <w:r>
        <w:rPr>
          <w:rFonts w:ascii="仿宋" w:hAnsi="仿宋" w:eastAsia="仿宋" w:cs="仿宋"/>
          <w:sz w:val="28"/>
          <w:szCs w:val="28"/>
        </w:rPr>
        <w:t>,183,089.39</w:t>
      </w:r>
      <w:r>
        <w:rPr>
          <w:rFonts w:hint="eastAsia" w:ascii="仿宋" w:hAnsi="仿宋" w:eastAsia="仿宋" w:cs="仿宋"/>
          <w:sz w:val="28"/>
          <w:szCs w:val="28"/>
        </w:rPr>
        <w:t>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、在建工程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按账面价值进行核实测算，不计折旧，即账面价值为评估值。</w:t>
      </w:r>
    </w:p>
    <w:tbl>
      <w:tblPr>
        <w:tblStyle w:val="54"/>
        <w:tblW w:w="8717" w:type="dxa"/>
        <w:jc w:val="center"/>
        <w:tblLayout w:type="fixed"/>
        <w:tblCellMar>
          <w:top w:w="0" w:type="dxa"/>
          <w:left w:w="0" w:type="dxa"/>
          <w:bottom w:w="0" w:type="dxa"/>
          <w:right w:w="0" w:type="dxa"/>
        </w:tblCellMar>
      </w:tblPr>
      <w:tblGrid>
        <w:gridCol w:w="1080"/>
        <w:gridCol w:w="3305"/>
        <w:gridCol w:w="2322"/>
        <w:gridCol w:w="2010"/>
      </w:tblGrid>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序号</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项目名称</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账面价值</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评估值</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1</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围墙工程款</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400,000.00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400,000.00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2</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咨询费</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30,000.00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30,000.00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3</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码头可行性研究报告编制费</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20,000.00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20,000.00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4</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南京大学仓库设计费</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6,000.00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6,000.00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5</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码头勘测施工图设计费</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138,000.00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138,000.00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6</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无锡中粮工程设计费</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15,000.00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15,000.00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7</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盐城市齐源水利评价</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75,000.00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75,000.00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8</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码头环评编制费</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6,000.00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6,000.00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9</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水土保持补偿费</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78,789.00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78,789.00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10</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河道堤防补偿费</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82,875.00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82,875.00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11</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项目水土保持费</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35,000.00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35,000.00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12</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烘干线项目环评</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6,000.00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6,000.00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13</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河道占用补偿</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82,875.00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82,875.00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14</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围墙监理费</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13,500.00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13,500.00 </w:t>
            </w:r>
          </w:p>
        </w:tc>
      </w:tr>
      <w:tr>
        <w:tblPrEx>
          <w:tblCellMar>
            <w:top w:w="0" w:type="dxa"/>
            <w:left w:w="0" w:type="dxa"/>
            <w:bottom w:w="0" w:type="dxa"/>
            <w:right w:w="0" w:type="dxa"/>
          </w:tblCellMar>
        </w:tblPrEx>
        <w:trPr>
          <w:trHeight w:val="270" w:hRule="atLeast"/>
          <w:jc w:val="center"/>
        </w:trPr>
        <w:tc>
          <w:tcPr>
            <w:tcW w:w="43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合计</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989,039.00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480" w:lineRule="exact"/>
              <w:jc w:val="center"/>
              <w:rPr>
                <w:rFonts w:ascii="仿宋" w:hAnsi="仿宋" w:eastAsia="仿宋" w:cs="仿宋"/>
                <w:sz w:val="21"/>
                <w:szCs w:val="21"/>
              </w:rPr>
            </w:pPr>
            <w:r>
              <w:rPr>
                <w:rFonts w:hint="eastAsia" w:ascii="仿宋" w:hAnsi="仿宋" w:eastAsia="仿宋" w:cs="仿宋"/>
                <w:sz w:val="21"/>
                <w:szCs w:val="21"/>
              </w:rPr>
              <w:t xml:space="preserve"> 989,039.00 </w:t>
            </w:r>
          </w:p>
        </w:tc>
      </w:tr>
    </w:tbl>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s="仿宋"/>
          <w:sz w:val="28"/>
        </w:rPr>
        <w:t>土地使用权价值</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无形资产：截止2020年06月30日，无形资产为土地</w:t>
      </w:r>
      <w:r>
        <w:rPr>
          <w:rFonts w:hint="eastAsia" w:ascii="仿宋" w:hAnsi="仿宋" w:eastAsia="仿宋" w:cs="仿宋"/>
          <w:sz w:val="28"/>
        </w:rPr>
        <w:t>使用权价值</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rPr>
        <w:t>土地</w:t>
      </w:r>
      <w:bookmarkStart w:id="80" w:name="_Hlk46088419"/>
      <w:r>
        <w:rPr>
          <w:rFonts w:hint="eastAsia" w:ascii="仿宋" w:hAnsi="仿宋" w:eastAsia="仿宋" w:cs="仿宋"/>
          <w:sz w:val="28"/>
        </w:rPr>
        <w:t>使用权价值</w:t>
      </w:r>
      <w:bookmarkEnd w:id="80"/>
      <w:r>
        <w:rPr>
          <w:rFonts w:hint="eastAsia" w:ascii="仿宋" w:hAnsi="仿宋" w:eastAsia="仿宋" w:cs="仿宋"/>
          <w:sz w:val="28"/>
          <w:szCs w:val="28"/>
        </w:rPr>
        <w:t>采用市场法评估，其模型如下：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估价对象价值=比较宗地价格×评估基准日期日修正系数×交易情况修正系数×区域因素修正系数×个别因素修正系数×土地使用权使用年期修正系数</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权证信息：</w:t>
      </w:r>
    </w:p>
    <w:tbl>
      <w:tblPr>
        <w:tblStyle w:val="55"/>
        <w:tblpPr w:leftFromText="180" w:rightFromText="180" w:vertAnchor="text" w:horzAnchor="page" w:tblpX="1605" w:tblpY="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2520"/>
        <w:gridCol w:w="1245"/>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不动产权证号</w:t>
            </w:r>
          </w:p>
        </w:tc>
        <w:tc>
          <w:tcPr>
            <w:tcW w:w="7138" w:type="dxa"/>
            <w:gridSpan w:val="3"/>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苏（2018）大丰区不动产要第0014909号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权利人</w:t>
            </w:r>
          </w:p>
        </w:tc>
        <w:tc>
          <w:tcPr>
            <w:tcW w:w="7138" w:type="dxa"/>
            <w:gridSpan w:val="3"/>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江苏焦点农业粮食储运有限公司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坐落</w:t>
            </w:r>
          </w:p>
        </w:tc>
        <w:tc>
          <w:tcPr>
            <w:tcW w:w="7138" w:type="dxa"/>
            <w:gridSpan w:val="3"/>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盐城市大丰区三龙镇龙南村二组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不动产单元号</w:t>
            </w:r>
          </w:p>
        </w:tc>
        <w:tc>
          <w:tcPr>
            <w:tcW w:w="7138" w:type="dxa"/>
            <w:gridSpan w:val="3"/>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320982112203GB00015W00000000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权利类型</w:t>
            </w:r>
          </w:p>
        </w:tc>
        <w:tc>
          <w:tcPr>
            <w:tcW w:w="2520" w:type="dxa"/>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国有建设用地使用权</w:t>
            </w:r>
          </w:p>
        </w:tc>
        <w:tc>
          <w:tcPr>
            <w:tcW w:w="12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权利性质</w:t>
            </w:r>
          </w:p>
        </w:tc>
        <w:tc>
          <w:tcPr>
            <w:tcW w:w="3373" w:type="dxa"/>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出让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用途</w:t>
            </w:r>
          </w:p>
        </w:tc>
        <w:tc>
          <w:tcPr>
            <w:tcW w:w="2520" w:type="dxa"/>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工业用地</w:t>
            </w:r>
          </w:p>
        </w:tc>
        <w:tc>
          <w:tcPr>
            <w:tcW w:w="12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面积</w:t>
            </w:r>
          </w:p>
        </w:tc>
        <w:tc>
          <w:tcPr>
            <w:tcW w:w="3373" w:type="dxa"/>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64401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使用期限</w:t>
            </w:r>
          </w:p>
        </w:tc>
        <w:tc>
          <w:tcPr>
            <w:tcW w:w="2520" w:type="dxa"/>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2068年06月21日止</w:t>
            </w:r>
          </w:p>
        </w:tc>
        <w:tc>
          <w:tcPr>
            <w:tcW w:w="1245" w:type="dxa"/>
            <w:vAlign w:val="center"/>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附记</w:t>
            </w:r>
          </w:p>
        </w:tc>
        <w:tc>
          <w:tcPr>
            <w:tcW w:w="3373" w:type="dxa"/>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该证有效期至2020年7月2日</w:t>
            </w:r>
          </w:p>
        </w:tc>
      </w:tr>
    </w:tbl>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规划参数与现状：</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0"/>
        <w:gridCol w:w="2271"/>
        <w:gridCol w:w="2271"/>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0" w:type="dxa"/>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容积率</w:t>
            </w:r>
          </w:p>
        </w:tc>
        <w:tc>
          <w:tcPr>
            <w:tcW w:w="2271" w:type="dxa"/>
          </w:tcPr>
          <w:p>
            <w:pPr>
              <w:spacing w:line="480" w:lineRule="exact"/>
              <w:jc w:val="center"/>
              <w:rPr>
                <w:rFonts w:ascii="仿宋" w:hAnsi="仿宋" w:eastAsia="仿宋" w:cs="仿宋"/>
                <w:sz w:val="21"/>
                <w:szCs w:val="21"/>
              </w:rPr>
            </w:pPr>
            <w:r>
              <w:rPr>
                <w:rFonts w:hint="eastAsia" w:ascii="仿宋" w:hAnsi="仿宋" w:eastAsia="仿宋" w:cs="仿宋"/>
                <w:sz w:val="21"/>
                <w:szCs w:val="21"/>
              </w:rPr>
              <w:t>≤1.2</w:t>
            </w:r>
          </w:p>
        </w:tc>
        <w:tc>
          <w:tcPr>
            <w:tcW w:w="2271" w:type="dxa"/>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建筑密度</w:t>
            </w:r>
          </w:p>
        </w:tc>
        <w:tc>
          <w:tcPr>
            <w:tcW w:w="2271" w:type="dxa"/>
          </w:tcPr>
          <w:p>
            <w:pPr>
              <w:spacing w:line="480" w:lineRule="exact"/>
              <w:jc w:val="center"/>
              <w:rPr>
                <w:rFonts w:ascii="仿宋" w:hAnsi="仿宋" w:eastAsia="仿宋" w:cs="仿宋"/>
                <w:sz w:val="21"/>
                <w:szCs w:val="21"/>
              </w:rPr>
            </w:pPr>
            <w:r>
              <w:rPr>
                <w:rFonts w:hint="eastAsia" w:ascii="仿宋" w:hAnsi="仿宋" w:eastAsia="仿宋" w:cs="仿宋"/>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0" w:type="dxa"/>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用地性质</w:t>
            </w:r>
          </w:p>
        </w:tc>
        <w:tc>
          <w:tcPr>
            <w:tcW w:w="2271" w:type="dxa"/>
          </w:tcPr>
          <w:p>
            <w:pPr>
              <w:spacing w:line="480" w:lineRule="exact"/>
              <w:jc w:val="center"/>
              <w:rPr>
                <w:rFonts w:ascii="仿宋" w:hAnsi="仿宋" w:eastAsia="仿宋" w:cs="仿宋"/>
                <w:sz w:val="21"/>
                <w:szCs w:val="21"/>
              </w:rPr>
            </w:pPr>
            <w:r>
              <w:rPr>
                <w:rFonts w:hint="eastAsia" w:ascii="仿宋" w:hAnsi="仿宋" w:eastAsia="仿宋" w:cs="仿宋"/>
                <w:sz w:val="21"/>
                <w:szCs w:val="21"/>
              </w:rPr>
              <w:t>仓储用地</w:t>
            </w:r>
          </w:p>
        </w:tc>
        <w:tc>
          <w:tcPr>
            <w:tcW w:w="2271" w:type="dxa"/>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绿地率</w:t>
            </w:r>
          </w:p>
        </w:tc>
        <w:tc>
          <w:tcPr>
            <w:tcW w:w="2271" w:type="dxa"/>
          </w:tcPr>
          <w:p>
            <w:pPr>
              <w:spacing w:line="480" w:lineRule="exact"/>
              <w:jc w:val="center"/>
              <w:rPr>
                <w:rFonts w:ascii="仿宋" w:hAnsi="仿宋" w:eastAsia="仿宋" w:cs="仿宋"/>
                <w:sz w:val="21"/>
                <w:szCs w:val="21"/>
              </w:rPr>
            </w:pPr>
            <w:r>
              <w:rPr>
                <w:rFonts w:hint="eastAsia" w:ascii="仿宋" w:hAnsi="仿宋" w:eastAsia="仿宋" w:cs="仿宋"/>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0" w:type="dxa"/>
          </w:tcPr>
          <w:p>
            <w:pPr>
              <w:spacing w:line="480" w:lineRule="exact"/>
              <w:jc w:val="center"/>
              <w:rPr>
                <w:rFonts w:ascii="仿宋" w:hAnsi="仿宋" w:eastAsia="仿宋" w:cs="仿宋"/>
                <w:b/>
                <w:bCs/>
                <w:sz w:val="21"/>
                <w:szCs w:val="21"/>
              </w:rPr>
            </w:pPr>
            <w:r>
              <w:rPr>
                <w:rFonts w:hint="eastAsia" w:ascii="仿宋" w:hAnsi="仿宋" w:eastAsia="仿宋" w:cs="仿宋"/>
                <w:b/>
                <w:bCs/>
                <w:sz w:val="21"/>
                <w:szCs w:val="21"/>
              </w:rPr>
              <w:t>开发程度</w:t>
            </w:r>
          </w:p>
        </w:tc>
        <w:tc>
          <w:tcPr>
            <w:tcW w:w="2271" w:type="dxa"/>
          </w:tcPr>
          <w:p>
            <w:pPr>
              <w:spacing w:line="480" w:lineRule="exact"/>
              <w:jc w:val="center"/>
              <w:rPr>
                <w:rFonts w:ascii="仿宋" w:hAnsi="仿宋" w:eastAsia="仿宋" w:cs="仿宋"/>
                <w:sz w:val="21"/>
                <w:szCs w:val="21"/>
              </w:rPr>
            </w:pPr>
            <w:r>
              <w:rPr>
                <w:rFonts w:hint="eastAsia" w:ascii="仿宋" w:hAnsi="仿宋" w:eastAsia="仿宋" w:cs="仿宋"/>
                <w:sz w:val="21"/>
                <w:szCs w:val="21"/>
              </w:rPr>
              <w:t>五通一平</w:t>
            </w:r>
          </w:p>
        </w:tc>
        <w:tc>
          <w:tcPr>
            <w:tcW w:w="2271" w:type="dxa"/>
          </w:tcPr>
          <w:p>
            <w:pPr>
              <w:spacing w:line="480" w:lineRule="exact"/>
              <w:jc w:val="center"/>
              <w:rPr>
                <w:rFonts w:ascii="仿宋" w:hAnsi="仿宋" w:eastAsia="仿宋" w:cs="仿宋"/>
                <w:sz w:val="21"/>
                <w:szCs w:val="21"/>
              </w:rPr>
            </w:pPr>
          </w:p>
        </w:tc>
        <w:tc>
          <w:tcPr>
            <w:tcW w:w="2271" w:type="dxa"/>
          </w:tcPr>
          <w:p>
            <w:pPr>
              <w:spacing w:line="480" w:lineRule="exact"/>
              <w:jc w:val="center"/>
              <w:rPr>
                <w:rFonts w:ascii="仿宋" w:hAnsi="仿宋" w:eastAsia="仿宋" w:cs="仿宋"/>
                <w:sz w:val="21"/>
                <w:szCs w:val="21"/>
              </w:rPr>
            </w:pPr>
          </w:p>
        </w:tc>
      </w:tr>
    </w:tbl>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由于估价对象所在区域的类似土地的成交实例较多，运用市场法测算出无形资产的价值。</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地价价值内涵：本次所估价价格是估价对象在估价基准日为2020年06月30日正常市场条件下设定完全产权公开市场价值（包括土地使用权出让金），</w:t>
      </w:r>
      <w:r>
        <w:rPr>
          <w:rFonts w:hint="eastAsia" w:ascii="仿宋" w:hAnsi="仿宋" w:eastAsia="仿宋" w:cs="仿宋"/>
          <w:sz w:val="28"/>
          <w:szCs w:val="28"/>
          <w:lang w:eastAsia="zh-CN"/>
        </w:rPr>
        <w:t>宗</w:t>
      </w:r>
      <w:r>
        <w:rPr>
          <w:rFonts w:hint="eastAsia" w:ascii="仿宋" w:hAnsi="仿宋" w:eastAsia="仿宋" w:cs="仿宋"/>
          <w:sz w:val="28"/>
          <w:szCs w:val="28"/>
        </w:rPr>
        <w:t>地红线外为“五通一平”开发程度。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本次估价目的是确定估价对象土地使用权公开市场价值，为委托方提供价格参考，本次评估采用公开市场价值标准，参照评估基准日的正常市场价格，但提请报告使用者需考虑将来市场变化等因素对估价对象的价格影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（4）评估过程：比较法。</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估价对象与比较案例的因素描述表：</w:t>
      </w:r>
    </w:p>
    <w:tbl>
      <w:tblPr>
        <w:tblStyle w:val="54"/>
        <w:tblW w:w="9340" w:type="dxa"/>
        <w:tblInd w:w="108" w:type="dxa"/>
        <w:tblLayout w:type="autofit"/>
        <w:tblCellMar>
          <w:top w:w="0" w:type="dxa"/>
          <w:left w:w="108" w:type="dxa"/>
          <w:bottom w:w="0" w:type="dxa"/>
          <w:right w:w="108" w:type="dxa"/>
        </w:tblCellMar>
      </w:tblPr>
      <w:tblGrid>
        <w:gridCol w:w="709"/>
        <w:gridCol w:w="1351"/>
        <w:gridCol w:w="1840"/>
        <w:gridCol w:w="1900"/>
        <w:gridCol w:w="1760"/>
        <w:gridCol w:w="1780"/>
      </w:tblGrid>
      <w:tr>
        <w:tblPrEx>
          <w:tblCellMar>
            <w:top w:w="0" w:type="dxa"/>
            <w:left w:w="108" w:type="dxa"/>
            <w:bottom w:w="0" w:type="dxa"/>
            <w:right w:w="108" w:type="dxa"/>
          </w:tblCellMar>
        </w:tblPrEx>
        <w:trPr>
          <w:trHeight w:val="582" w:hRule="atLeast"/>
        </w:trPr>
        <w:tc>
          <w:tcPr>
            <w:tcW w:w="9340" w:type="dxa"/>
            <w:gridSpan w:val="6"/>
            <w:tcBorders>
              <w:top w:val="nil"/>
              <w:left w:val="nil"/>
              <w:bottom w:val="nil"/>
              <w:right w:val="nil"/>
            </w:tcBorders>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仿宋"/>
                <w:sz w:val="28"/>
                <w:szCs w:val="28"/>
              </w:rPr>
              <w:t>可比实例因素条件说明表</w:t>
            </w:r>
          </w:p>
        </w:tc>
      </w:tr>
      <w:tr>
        <w:tblPrEx>
          <w:tblCellMar>
            <w:top w:w="0" w:type="dxa"/>
            <w:left w:w="108" w:type="dxa"/>
            <w:bottom w:w="0" w:type="dxa"/>
            <w:right w:w="108" w:type="dxa"/>
          </w:tblCellMar>
        </w:tblPrEx>
        <w:trPr>
          <w:trHeight w:val="285" w:hRule="atLeast"/>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比较因素</w:t>
            </w:r>
          </w:p>
        </w:tc>
        <w:tc>
          <w:tcPr>
            <w:tcW w:w="18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待估宗地</w:t>
            </w:r>
          </w:p>
        </w:tc>
        <w:tc>
          <w:tcPr>
            <w:tcW w:w="190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案例1</w:t>
            </w:r>
          </w:p>
        </w:tc>
        <w:tc>
          <w:tcPr>
            <w:tcW w:w="176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案例2</w:t>
            </w:r>
          </w:p>
        </w:tc>
        <w:tc>
          <w:tcPr>
            <w:tcW w:w="178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案例3</w:t>
            </w:r>
          </w:p>
        </w:tc>
      </w:tr>
      <w:tr>
        <w:tblPrEx>
          <w:tblCellMar>
            <w:top w:w="0" w:type="dxa"/>
            <w:left w:w="108" w:type="dxa"/>
            <w:bottom w:w="0" w:type="dxa"/>
            <w:right w:w="108" w:type="dxa"/>
          </w:tblCellMar>
        </w:tblPrEx>
        <w:trPr>
          <w:trHeight w:val="285" w:hRule="atLeast"/>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土地编号</w:t>
            </w:r>
          </w:p>
        </w:tc>
        <w:tc>
          <w:tcPr>
            <w:tcW w:w="184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　</w:t>
            </w:r>
          </w:p>
        </w:tc>
        <w:tc>
          <w:tcPr>
            <w:tcW w:w="190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2019-G-01</w:t>
            </w:r>
          </w:p>
        </w:tc>
        <w:tc>
          <w:tcPr>
            <w:tcW w:w="176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2019-港-G-08</w:t>
            </w:r>
          </w:p>
        </w:tc>
        <w:tc>
          <w:tcPr>
            <w:tcW w:w="178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2019-G-</w:t>
            </w:r>
            <w:r>
              <w:rPr>
                <w:rFonts w:hint="eastAsia" w:ascii="仿宋" w:hAnsi="仿宋" w:eastAsia="仿宋" w:cs="仿宋"/>
                <w:szCs w:val="21"/>
              </w:rPr>
              <w:t>2</w:t>
            </w:r>
            <w:r>
              <w:rPr>
                <w:rFonts w:ascii="仿宋" w:hAnsi="仿宋" w:eastAsia="仿宋" w:cs="仿宋"/>
                <w:szCs w:val="21"/>
              </w:rPr>
              <w:t>6</w:t>
            </w:r>
          </w:p>
        </w:tc>
      </w:tr>
      <w:tr>
        <w:tblPrEx>
          <w:tblCellMar>
            <w:top w:w="0" w:type="dxa"/>
            <w:left w:w="108" w:type="dxa"/>
            <w:bottom w:w="0" w:type="dxa"/>
            <w:right w:w="108" w:type="dxa"/>
          </w:tblCellMar>
        </w:tblPrEx>
        <w:trPr>
          <w:trHeight w:val="300" w:hRule="atLeast"/>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交易时间</w:t>
            </w:r>
          </w:p>
        </w:tc>
        <w:tc>
          <w:tcPr>
            <w:tcW w:w="184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2020.3.31</w:t>
            </w:r>
          </w:p>
        </w:tc>
        <w:tc>
          <w:tcPr>
            <w:tcW w:w="190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2019.4.22</w:t>
            </w:r>
          </w:p>
        </w:tc>
        <w:tc>
          <w:tcPr>
            <w:tcW w:w="176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2019.11.27</w:t>
            </w:r>
          </w:p>
        </w:tc>
        <w:tc>
          <w:tcPr>
            <w:tcW w:w="178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2019.1</w:t>
            </w:r>
            <w:r>
              <w:rPr>
                <w:rFonts w:hint="eastAsia" w:ascii="仿宋" w:hAnsi="仿宋" w:eastAsia="仿宋" w:cs="仿宋"/>
                <w:szCs w:val="21"/>
              </w:rPr>
              <w:t>1</w:t>
            </w:r>
            <w:r>
              <w:rPr>
                <w:rFonts w:ascii="仿宋" w:hAnsi="仿宋" w:eastAsia="仿宋" w:cs="仿宋"/>
                <w:szCs w:val="21"/>
              </w:rPr>
              <w:t>.</w:t>
            </w:r>
            <w:r>
              <w:rPr>
                <w:rFonts w:hint="eastAsia" w:ascii="仿宋" w:hAnsi="仿宋" w:eastAsia="仿宋" w:cs="仿宋"/>
                <w:szCs w:val="21"/>
              </w:rPr>
              <w:t>26</w:t>
            </w:r>
          </w:p>
        </w:tc>
      </w:tr>
      <w:tr>
        <w:tblPrEx>
          <w:tblCellMar>
            <w:top w:w="0" w:type="dxa"/>
            <w:left w:w="108" w:type="dxa"/>
            <w:bottom w:w="0" w:type="dxa"/>
            <w:right w:w="108" w:type="dxa"/>
          </w:tblCellMar>
        </w:tblPrEx>
        <w:trPr>
          <w:trHeight w:val="285" w:hRule="atLeast"/>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交易情况</w:t>
            </w:r>
          </w:p>
        </w:tc>
        <w:tc>
          <w:tcPr>
            <w:tcW w:w="184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正常</w:t>
            </w:r>
          </w:p>
        </w:tc>
        <w:tc>
          <w:tcPr>
            <w:tcW w:w="190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正常</w:t>
            </w:r>
          </w:p>
        </w:tc>
        <w:tc>
          <w:tcPr>
            <w:tcW w:w="176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正常</w:t>
            </w:r>
          </w:p>
        </w:tc>
        <w:tc>
          <w:tcPr>
            <w:tcW w:w="178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正常</w:t>
            </w:r>
          </w:p>
        </w:tc>
      </w:tr>
      <w:tr>
        <w:tblPrEx>
          <w:tblCellMar>
            <w:top w:w="0" w:type="dxa"/>
            <w:left w:w="108" w:type="dxa"/>
            <w:bottom w:w="0" w:type="dxa"/>
            <w:right w:w="108" w:type="dxa"/>
          </w:tblCellMar>
        </w:tblPrEx>
        <w:trPr>
          <w:trHeight w:val="285" w:hRule="atLeast"/>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交易方式</w:t>
            </w:r>
          </w:p>
        </w:tc>
        <w:tc>
          <w:tcPr>
            <w:tcW w:w="184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w:t>
            </w:r>
          </w:p>
        </w:tc>
        <w:tc>
          <w:tcPr>
            <w:tcW w:w="190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挂牌出让</w:t>
            </w:r>
          </w:p>
        </w:tc>
        <w:tc>
          <w:tcPr>
            <w:tcW w:w="176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挂牌出让</w:t>
            </w:r>
          </w:p>
        </w:tc>
        <w:tc>
          <w:tcPr>
            <w:tcW w:w="178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Cs w:val="21"/>
              </w:rPr>
            </w:pPr>
            <w:r>
              <w:rPr>
                <w:rFonts w:ascii="仿宋" w:hAnsi="仿宋" w:eastAsia="仿宋" w:cs="仿宋"/>
                <w:szCs w:val="21"/>
              </w:rPr>
              <w:t>挂牌出让</w:t>
            </w:r>
          </w:p>
        </w:tc>
      </w:tr>
      <w:tr>
        <w:tblPrEx>
          <w:tblCellMar>
            <w:top w:w="0" w:type="dxa"/>
            <w:left w:w="108" w:type="dxa"/>
            <w:bottom w:w="0" w:type="dxa"/>
            <w:right w:w="108" w:type="dxa"/>
          </w:tblCellMar>
        </w:tblPrEx>
        <w:trPr>
          <w:trHeight w:val="300" w:hRule="atLeast"/>
        </w:trPr>
        <w:tc>
          <w:tcPr>
            <w:tcW w:w="206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土地单价（元/平米）</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待评估</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195</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195</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195</w:t>
            </w:r>
          </w:p>
        </w:tc>
      </w:tr>
      <w:tr>
        <w:tblPrEx>
          <w:tblCellMar>
            <w:top w:w="0" w:type="dxa"/>
            <w:left w:w="108" w:type="dxa"/>
            <w:bottom w:w="0" w:type="dxa"/>
            <w:right w:w="108" w:type="dxa"/>
          </w:tblCellMar>
        </w:tblPrEx>
        <w:trPr>
          <w:trHeight w:val="300" w:hRule="atLeast"/>
        </w:trPr>
        <w:tc>
          <w:tcPr>
            <w:tcW w:w="206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用途</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工业（仓储用地）</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工业用地</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工业（仓储用地）</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工业用地</w:t>
            </w:r>
          </w:p>
        </w:tc>
      </w:tr>
      <w:tr>
        <w:tblPrEx>
          <w:tblCellMar>
            <w:top w:w="0" w:type="dxa"/>
            <w:left w:w="108" w:type="dxa"/>
            <w:bottom w:w="0" w:type="dxa"/>
            <w:right w:w="108" w:type="dxa"/>
          </w:tblCellMar>
        </w:tblPrEx>
        <w:trPr>
          <w:trHeight w:val="570" w:hRule="atLeast"/>
        </w:trPr>
        <w:tc>
          <w:tcPr>
            <w:tcW w:w="709" w:type="dxa"/>
            <w:vMerge w:val="restart"/>
            <w:tcBorders>
              <w:top w:val="nil"/>
              <w:left w:val="single" w:color="auto" w:sz="4" w:space="0"/>
              <w:bottom w:val="single" w:color="000000"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区域因素</w:t>
            </w: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区域位置</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大丰区三龙镇龙南村二组</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大丰区三龙镇龙东村六组</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大丰港经济开发区临港大道东侧</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大丰区三龙镇龙东村</w:t>
            </w:r>
            <w:r>
              <w:rPr>
                <w:rFonts w:hint="eastAsia" w:ascii="仿宋" w:hAnsi="仿宋" w:eastAsia="仿宋" w:cs="仿宋"/>
                <w:szCs w:val="21"/>
              </w:rPr>
              <w:t>一</w:t>
            </w:r>
            <w:r>
              <w:rPr>
                <w:rFonts w:ascii="仿宋" w:hAnsi="仿宋" w:eastAsia="仿宋" w:cs="仿宋"/>
                <w:szCs w:val="21"/>
              </w:rPr>
              <w:t>组</w:t>
            </w:r>
          </w:p>
        </w:tc>
      </w:tr>
      <w:tr>
        <w:tblPrEx>
          <w:tblCellMar>
            <w:top w:w="0" w:type="dxa"/>
            <w:left w:w="108" w:type="dxa"/>
            <w:bottom w:w="0" w:type="dxa"/>
            <w:right w:w="108" w:type="dxa"/>
          </w:tblCellMar>
        </w:tblPrEx>
        <w:trPr>
          <w:trHeight w:val="673"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基础设施状况</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通路、通上水、通下水、通电、通讯</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通路、通上水、通下水、通电、通讯</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通路、通上水、通下水、通电、通讯</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通路、通上水、通下水、通电、通讯</w:t>
            </w:r>
          </w:p>
        </w:tc>
      </w:tr>
      <w:tr>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交通状况</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G228、安斗线，一般</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G228、S226、S331、建设线、龙东中线较优</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G343、临港大道、海港大道，较优</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hint="eastAsia" w:ascii="仿宋" w:hAnsi="仿宋" w:eastAsia="仿宋" w:cs="仿宋"/>
                <w:szCs w:val="21"/>
              </w:rPr>
              <w:t>S226</w:t>
            </w:r>
            <w:r>
              <w:rPr>
                <w:rFonts w:ascii="仿宋" w:hAnsi="仿宋" w:eastAsia="仿宋" w:cs="仿宋"/>
                <w:szCs w:val="21"/>
              </w:rPr>
              <w:t>、</w:t>
            </w:r>
            <w:r>
              <w:rPr>
                <w:rFonts w:hint="eastAsia" w:ascii="仿宋" w:hAnsi="仿宋" w:eastAsia="仿宋" w:cs="仿宋"/>
                <w:szCs w:val="21"/>
              </w:rPr>
              <w:t>S331</w:t>
            </w:r>
            <w:r>
              <w:rPr>
                <w:rFonts w:ascii="仿宋" w:hAnsi="仿宋" w:eastAsia="仿宋" w:cs="仿宋"/>
                <w:szCs w:val="21"/>
              </w:rPr>
              <w:t>，较优</w:t>
            </w:r>
          </w:p>
        </w:tc>
      </w:tr>
      <w:tr>
        <w:tblPrEx>
          <w:tblCellMar>
            <w:top w:w="0" w:type="dxa"/>
            <w:left w:w="108" w:type="dxa"/>
            <w:bottom w:w="0" w:type="dxa"/>
            <w:right w:w="108" w:type="dxa"/>
          </w:tblCellMar>
        </w:tblPrEx>
        <w:trPr>
          <w:trHeight w:val="1680"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产业集聚及配套协作状况</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集聚企业分属多种行业，类型相差很大，有支柱产业和主导产业；集聚程度较优，配套协作程度一般，工业区成熟度较优</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集聚企业分属多种行业，类型相差很大，无支柱产业和主导产业；集聚程度较优，配套协作程度一般，工业区成熟度一般</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集聚企业分属多种行业，类型相差很大，有支柱产业和主导产业；集聚程度较优，配套协作程度一般，工业区成熟度较优</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集聚企业分属多种行业，类型相差很大，无支柱产业和主导产业；集聚程度较优，配套协作程度一般，工业区成熟度一般</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环境状况</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较优</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较优</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较优</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较优</w:t>
            </w:r>
          </w:p>
        </w:tc>
      </w:tr>
      <w:tr>
        <w:tblPrEx>
          <w:tblCellMar>
            <w:top w:w="0" w:type="dxa"/>
            <w:left w:w="108" w:type="dxa"/>
            <w:bottom w:w="0" w:type="dxa"/>
            <w:right w:w="108" w:type="dxa"/>
          </w:tblCellMar>
        </w:tblPrEx>
        <w:trPr>
          <w:trHeight w:val="960"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自然条件</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待估宗地所在区域地形较平坦，连续大雨后无淹水现象，自然条件较好</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待估宗地所在区域地形较平坦，连续大雨后无淹水现象，自然条件较好</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待估宗地所在区域地形较平坦，连续大雨后无淹水现象，自然条件较好</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待估宗地所在区域地形较平坦，连续大雨后无淹水现象，自然条件较好</w:t>
            </w:r>
          </w:p>
        </w:tc>
      </w:tr>
      <w:tr>
        <w:tblPrEx>
          <w:tblCellMar>
            <w:top w:w="0" w:type="dxa"/>
            <w:left w:w="108" w:type="dxa"/>
            <w:bottom w:w="0" w:type="dxa"/>
            <w:right w:w="108" w:type="dxa"/>
          </w:tblCellMar>
        </w:tblPrEx>
        <w:trPr>
          <w:trHeight w:val="1200"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城市规划限制</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待估宗地所在区域未来土地利用为工业用地，规划对土地利用强度有一定限制</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所在区域未来土地利用为工业用地，规划对土地利用强度有一定限制</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所在区域未来土地利用为工业用地，规划对土地利用强度有一定限制</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所在区域未来土地利用为工业用地，规划对土地利用强度有一定限制</w:t>
            </w:r>
          </w:p>
        </w:tc>
      </w:tr>
      <w:tr>
        <w:tblPrEx>
          <w:tblCellMar>
            <w:top w:w="0" w:type="dxa"/>
            <w:left w:w="108" w:type="dxa"/>
            <w:bottom w:w="0" w:type="dxa"/>
            <w:right w:w="108" w:type="dxa"/>
          </w:tblCellMar>
        </w:tblPrEx>
        <w:trPr>
          <w:trHeight w:val="960" w:hRule="atLeast"/>
        </w:trPr>
        <w:tc>
          <w:tcPr>
            <w:tcW w:w="709"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个别因素</w:t>
            </w: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地基</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地基较好，承载力较大，一般工业建筑建设时需作较简单的基础处理</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地基较好，承载力较大，一般工业建筑建设时需作较简单的基础处理</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地基较好，承载力较大，一般工业建筑建设时需作较简单的基础处理</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地基较好，承载力较大，一般工业建筑建设时需作较简单的基础处理</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地形</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地面较平坦</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地面较平坦</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地面较平坦</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地面较平坦</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开发程度</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场地平整</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场地平整</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场地平整</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场地平整</w:t>
            </w:r>
          </w:p>
        </w:tc>
      </w:tr>
      <w:tr>
        <w:tblPrEx>
          <w:tblCellMar>
            <w:top w:w="0" w:type="dxa"/>
            <w:left w:w="108" w:type="dxa"/>
            <w:bottom w:w="0" w:type="dxa"/>
            <w:right w:w="108" w:type="dxa"/>
          </w:tblCellMar>
        </w:tblPrEx>
        <w:trPr>
          <w:trHeight w:val="660"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宗地面积</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64401平方米，较适中</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13340平方米，小</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20793平方米，较小</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hint="eastAsia" w:ascii="仿宋" w:hAnsi="仿宋" w:eastAsia="仿宋" w:cs="仿宋"/>
                <w:szCs w:val="21"/>
              </w:rPr>
              <w:t>23912</w:t>
            </w:r>
            <w:r>
              <w:rPr>
                <w:rFonts w:ascii="仿宋" w:hAnsi="仿宋" w:eastAsia="仿宋" w:cs="仿宋"/>
                <w:szCs w:val="21"/>
              </w:rPr>
              <w:t>平方米，较</w:t>
            </w:r>
            <w:r>
              <w:rPr>
                <w:rFonts w:hint="eastAsia" w:ascii="仿宋" w:hAnsi="仿宋" w:eastAsia="仿宋" w:cs="仿宋"/>
                <w:szCs w:val="21"/>
              </w:rPr>
              <w:t>小</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宗地形状</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较规则</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较规则</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较规则</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较规则</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临路状况</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混合型主次干道</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混合型主次干道</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混合型主次干道</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混合型主次干道</w:t>
            </w:r>
          </w:p>
        </w:tc>
      </w:tr>
      <w:tr>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接近对外交通设施距离</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 xml:space="preserve">较近 </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 xml:space="preserve">较近 </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 xml:space="preserve">较近 </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 xml:space="preserve">较近 </w:t>
            </w:r>
          </w:p>
        </w:tc>
      </w:tr>
      <w:tr>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土地使用年期</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剩余使用年期4</w:t>
            </w:r>
            <w:r>
              <w:rPr>
                <w:rFonts w:hint="eastAsia" w:ascii="仿宋" w:hAnsi="仿宋" w:eastAsia="仿宋" w:cs="仿宋"/>
                <w:szCs w:val="21"/>
              </w:rPr>
              <w:t>7</w:t>
            </w:r>
            <w:r>
              <w:rPr>
                <w:rFonts w:ascii="仿宋" w:hAnsi="仿宋" w:eastAsia="仿宋" w:cs="仿宋"/>
                <w:szCs w:val="21"/>
              </w:rPr>
              <w:t>.</w:t>
            </w:r>
            <w:r>
              <w:rPr>
                <w:rFonts w:hint="eastAsia" w:ascii="仿宋" w:hAnsi="仿宋" w:eastAsia="仿宋" w:cs="仿宋"/>
                <w:szCs w:val="21"/>
              </w:rPr>
              <w:t>98</w:t>
            </w:r>
            <w:r>
              <w:rPr>
                <w:rFonts w:ascii="仿宋" w:hAnsi="仿宋" w:eastAsia="仿宋" w:cs="仿宋"/>
                <w:szCs w:val="21"/>
              </w:rPr>
              <w:t>年</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使用年期50年</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使用年期50年</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使用年期50年</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p>
        </w:tc>
        <w:tc>
          <w:tcPr>
            <w:tcW w:w="1351"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其他因素</w:t>
            </w:r>
          </w:p>
        </w:tc>
        <w:tc>
          <w:tcPr>
            <w:tcW w:w="184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有配套码头</w:t>
            </w:r>
          </w:p>
        </w:tc>
        <w:tc>
          <w:tcPr>
            <w:tcW w:w="190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无</w:t>
            </w:r>
          </w:p>
        </w:tc>
        <w:tc>
          <w:tcPr>
            <w:tcW w:w="176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无</w:t>
            </w:r>
          </w:p>
        </w:tc>
        <w:tc>
          <w:tcPr>
            <w:tcW w:w="1780"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ascii="仿宋" w:hAnsi="仿宋" w:eastAsia="仿宋" w:cs="仿宋"/>
                <w:szCs w:val="21"/>
              </w:rPr>
            </w:pPr>
            <w:r>
              <w:rPr>
                <w:rFonts w:ascii="仿宋" w:hAnsi="仿宋" w:eastAsia="仿宋" w:cs="仿宋"/>
                <w:szCs w:val="21"/>
              </w:rPr>
              <w:t>无</w:t>
            </w:r>
          </w:p>
        </w:tc>
      </w:tr>
    </w:tbl>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由于比较案例成交时间与估价对象的</w:t>
      </w:r>
      <w:bookmarkStart w:id="81" w:name="_Hlk46088594"/>
      <w:r>
        <w:rPr>
          <w:rFonts w:hint="eastAsia" w:ascii="仿宋" w:hAnsi="仿宋" w:eastAsia="仿宋" w:cs="仿宋"/>
          <w:sz w:val="28"/>
          <w:szCs w:val="28"/>
        </w:rPr>
        <w:t>评估基准日比较接近，再加上工业用地的市场比较稳定，不需要进行期日调整。</w:t>
      </w:r>
    </w:p>
    <w:bookmarkEnd w:id="81"/>
    <w:p>
      <w:pPr>
        <w:spacing w:line="480" w:lineRule="exact"/>
        <w:ind w:firstLine="560" w:firstLineChars="200"/>
        <w:rPr>
          <w:rFonts w:ascii="仿宋" w:hAnsi="仿宋" w:eastAsia="仿宋" w:cs="仿宋"/>
          <w:sz w:val="28"/>
          <w:szCs w:val="28"/>
        </w:rPr>
      </w:pPr>
      <w:r>
        <w:rPr>
          <w:rFonts w:ascii="仿宋" w:hAnsi="仿宋" w:eastAsia="仿宋" w:cs="仿宋"/>
          <w:sz w:val="28"/>
          <w:szCs w:val="28"/>
        </w:rPr>
        <w:t>土地还原率的确定</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土地还原利率实质上是土地投资资本的收益率。我们采用安全利率加风险调整值法和投资风险与投资收益率综合排序插入法两种方法综合确定土地还原利率。</w:t>
      </w:r>
      <w:r>
        <w:rPr>
          <w:rFonts w:ascii="仿宋" w:hAnsi="仿宋" w:eastAsia="仿宋" w:cs="仿宋"/>
          <w:sz w:val="28"/>
          <w:szCs w:val="28"/>
        </w:rPr>
        <w:br w:type="textWrapping"/>
      </w:r>
      <w:r>
        <w:rPr>
          <w:rFonts w:ascii="仿宋" w:hAnsi="仿宋" w:eastAsia="仿宋" w:cs="仿宋"/>
          <w:sz w:val="28"/>
          <w:szCs w:val="28"/>
        </w:rPr>
        <w:t xml:space="preserve">    A.利用安全利率加风险调整值法测算土地还原利率</w:t>
      </w:r>
      <w:r>
        <w:rPr>
          <w:rFonts w:ascii="仿宋" w:hAnsi="仿宋" w:eastAsia="仿宋" w:cs="仿宋"/>
          <w:sz w:val="28"/>
          <w:szCs w:val="28"/>
        </w:rPr>
        <w:br w:type="textWrapping"/>
      </w:r>
      <w:r>
        <w:rPr>
          <w:rFonts w:hint="eastAsia" w:ascii="仿宋" w:hAnsi="仿宋" w:eastAsia="仿宋" w:cs="仿宋"/>
          <w:sz w:val="28"/>
          <w:szCs w:val="28"/>
        </w:rPr>
        <w:t xml:space="preserve"> </w:t>
      </w:r>
      <w:r>
        <w:rPr>
          <w:rFonts w:ascii="仿宋" w:hAnsi="仿宋" w:eastAsia="仿宋" w:cs="仿宋"/>
          <w:sz w:val="28"/>
          <w:szCs w:val="28"/>
        </w:rPr>
        <w:t xml:space="preserve">   安全利率是指无风险的资本投资收益率，我们选取中国人民银行公布的一年期定期存款年利率1.5%作为安全利率。风险调整值的确定综合考虑以下因素：估价对象所在地区房地产业的平均收益状况、估价对象的地理位置、估价对象的用途等。根据当地国土资源局提供的资料，目前在当地土地投资存在一定风险，综合分析该市社会经济发展和土地市场状况对土地投资的影响程度以及估价对象的地理位置、用途等，确定工业用地风险调整值为4.0~6.0%，由此求得土地还原利率为6.25~8.25%。</w:t>
      </w:r>
      <w:r>
        <w:rPr>
          <w:rFonts w:ascii="仿宋" w:hAnsi="仿宋" w:eastAsia="仿宋" w:cs="仿宋"/>
          <w:sz w:val="28"/>
          <w:szCs w:val="28"/>
        </w:rPr>
        <w:br w:type="textWrapping"/>
      </w:r>
      <w:r>
        <w:rPr>
          <w:rFonts w:ascii="仿宋" w:hAnsi="仿宋" w:eastAsia="仿宋" w:cs="仿宋"/>
          <w:sz w:val="28"/>
          <w:szCs w:val="28"/>
        </w:rPr>
        <w:t xml:space="preserve">    B.利用投资风险与投资收益率综合排序插入法测算土地还原利率</w:t>
      </w:r>
      <w:r>
        <w:rPr>
          <w:rFonts w:ascii="仿宋" w:hAnsi="仿宋" w:eastAsia="仿宋" w:cs="仿宋"/>
          <w:sz w:val="28"/>
          <w:szCs w:val="28"/>
        </w:rPr>
        <w:br w:type="textWrapping"/>
      </w:r>
      <w:r>
        <w:rPr>
          <w:rFonts w:hint="eastAsia" w:ascii="仿宋" w:hAnsi="仿宋" w:eastAsia="仿宋" w:cs="仿宋"/>
          <w:sz w:val="28"/>
          <w:szCs w:val="28"/>
        </w:rPr>
        <w:t xml:space="preserve"> </w:t>
      </w:r>
      <w:r>
        <w:rPr>
          <w:rFonts w:ascii="仿宋" w:hAnsi="仿宋" w:eastAsia="仿宋" w:cs="仿宋"/>
          <w:sz w:val="28"/>
          <w:szCs w:val="28"/>
        </w:rPr>
        <w:t xml:space="preserve">   投资的收益与投资风险密切相关，目前比较安全、风险性小的投资有银行一年期定期存款，但其收益率较低，为1.5%；银行贷款存在一定风险，其收益率高于前者，人民币一年期贷款基准利率为4.35%；投资在房地产开发方面风险较大，其行业平均利润率为10%。经分析判断，工业用地作为企业固定资产的重要组成部分，其投资风险大于银行一年期贷款而小于房地产开发平均利润率，据此测得工业用地土地还原利率为6.7~8.7%。</w:t>
      </w:r>
      <w:r>
        <w:rPr>
          <w:rFonts w:ascii="仿宋" w:hAnsi="仿宋" w:eastAsia="仿宋" w:cs="仿宋"/>
          <w:sz w:val="28"/>
          <w:szCs w:val="28"/>
        </w:rPr>
        <w:br w:type="textWrapping"/>
      </w:r>
      <w:r>
        <w:rPr>
          <w:rFonts w:hint="eastAsia" w:ascii="仿宋" w:hAnsi="仿宋" w:eastAsia="仿宋" w:cs="仿宋"/>
          <w:sz w:val="28"/>
          <w:szCs w:val="28"/>
        </w:rPr>
        <w:t xml:space="preserve"> </w:t>
      </w:r>
      <w:r>
        <w:rPr>
          <w:rFonts w:ascii="仿宋" w:hAnsi="仿宋" w:eastAsia="仿宋" w:cs="仿宋"/>
          <w:sz w:val="28"/>
          <w:szCs w:val="28"/>
        </w:rPr>
        <w:t xml:space="preserve">   综合上述两种方法测算结果，最终确定本次土地估价的工业用地土地还原利率为7%。</w:t>
      </w:r>
    </w:p>
    <w:tbl>
      <w:tblPr>
        <w:tblStyle w:val="54"/>
        <w:tblW w:w="9356" w:type="dxa"/>
        <w:tblInd w:w="108" w:type="dxa"/>
        <w:tblLayout w:type="autofit"/>
        <w:tblCellMar>
          <w:top w:w="0" w:type="dxa"/>
          <w:left w:w="108" w:type="dxa"/>
          <w:bottom w:w="0" w:type="dxa"/>
          <w:right w:w="108" w:type="dxa"/>
        </w:tblCellMar>
      </w:tblPr>
      <w:tblGrid>
        <w:gridCol w:w="709"/>
        <w:gridCol w:w="2097"/>
        <w:gridCol w:w="1305"/>
        <w:gridCol w:w="1748"/>
        <w:gridCol w:w="1748"/>
        <w:gridCol w:w="1749"/>
      </w:tblGrid>
      <w:tr>
        <w:tblPrEx>
          <w:tblCellMar>
            <w:top w:w="0" w:type="dxa"/>
            <w:left w:w="108" w:type="dxa"/>
            <w:bottom w:w="0" w:type="dxa"/>
            <w:right w:w="108" w:type="dxa"/>
          </w:tblCellMar>
        </w:tblPrEx>
        <w:trPr>
          <w:trHeight w:val="582" w:hRule="atLeast"/>
        </w:trPr>
        <w:tc>
          <w:tcPr>
            <w:tcW w:w="9356" w:type="dxa"/>
            <w:gridSpan w:val="6"/>
            <w:tcBorders>
              <w:top w:val="nil"/>
              <w:left w:val="nil"/>
              <w:bottom w:val="nil"/>
              <w:right w:val="nil"/>
            </w:tcBorders>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仿宋"/>
                <w:sz w:val="28"/>
                <w:szCs w:val="28"/>
              </w:rPr>
              <w:t>宗地比较因素条件指数表</w:t>
            </w:r>
          </w:p>
        </w:tc>
      </w:tr>
      <w:tr>
        <w:tblPrEx>
          <w:tblCellMar>
            <w:top w:w="0" w:type="dxa"/>
            <w:left w:w="108" w:type="dxa"/>
            <w:bottom w:w="0" w:type="dxa"/>
            <w:right w:w="108" w:type="dxa"/>
          </w:tblCellMar>
        </w:tblPrEx>
        <w:trPr>
          <w:trHeight w:val="285" w:hRule="atLeast"/>
        </w:trPr>
        <w:tc>
          <w:tcPr>
            <w:tcW w:w="2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比较因素</w:t>
            </w:r>
          </w:p>
        </w:tc>
        <w:tc>
          <w:tcPr>
            <w:tcW w:w="13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待估宗地</w:t>
            </w:r>
          </w:p>
        </w:tc>
        <w:tc>
          <w:tcPr>
            <w:tcW w:w="17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案例1</w:t>
            </w:r>
          </w:p>
        </w:tc>
        <w:tc>
          <w:tcPr>
            <w:tcW w:w="17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案例2</w:t>
            </w:r>
          </w:p>
        </w:tc>
        <w:tc>
          <w:tcPr>
            <w:tcW w:w="17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案例3</w:t>
            </w:r>
          </w:p>
        </w:tc>
      </w:tr>
      <w:tr>
        <w:tblPrEx>
          <w:tblCellMar>
            <w:top w:w="0" w:type="dxa"/>
            <w:left w:w="108" w:type="dxa"/>
            <w:bottom w:w="0" w:type="dxa"/>
            <w:right w:w="108" w:type="dxa"/>
          </w:tblCellMar>
        </w:tblPrEx>
        <w:trPr>
          <w:trHeight w:val="285" w:hRule="atLeast"/>
        </w:trPr>
        <w:tc>
          <w:tcPr>
            <w:tcW w:w="2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土地编号</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　</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2019-G-01</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2019-港-G-08</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ascii="仿宋" w:hAnsi="仿宋" w:eastAsia="仿宋" w:cs="仿宋"/>
                <w:szCs w:val="21"/>
              </w:rPr>
              <w:t>2019-G-</w:t>
            </w:r>
            <w:r>
              <w:rPr>
                <w:rFonts w:hint="eastAsia" w:ascii="仿宋" w:hAnsi="仿宋" w:eastAsia="仿宋" w:cs="仿宋"/>
                <w:szCs w:val="21"/>
              </w:rPr>
              <w:t>2</w:t>
            </w:r>
            <w:r>
              <w:rPr>
                <w:rFonts w:ascii="仿宋" w:hAnsi="仿宋" w:eastAsia="仿宋" w:cs="仿宋"/>
                <w:szCs w:val="21"/>
              </w:rPr>
              <w:t>6</w:t>
            </w:r>
          </w:p>
        </w:tc>
      </w:tr>
      <w:tr>
        <w:tblPrEx>
          <w:tblCellMar>
            <w:top w:w="0" w:type="dxa"/>
            <w:left w:w="108" w:type="dxa"/>
            <w:bottom w:w="0" w:type="dxa"/>
            <w:right w:w="108" w:type="dxa"/>
          </w:tblCellMar>
        </w:tblPrEx>
        <w:trPr>
          <w:trHeight w:val="300" w:hRule="atLeast"/>
        </w:trPr>
        <w:tc>
          <w:tcPr>
            <w:tcW w:w="2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交易时间</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285" w:hRule="atLeast"/>
        </w:trPr>
        <w:tc>
          <w:tcPr>
            <w:tcW w:w="2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交易情况</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285" w:hRule="atLeast"/>
        </w:trPr>
        <w:tc>
          <w:tcPr>
            <w:tcW w:w="2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交易方式</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300" w:hRule="atLeast"/>
        </w:trPr>
        <w:tc>
          <w:tcPr>
            <w:tcW w:w="2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土地单价（元/平米）</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待评估</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195</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195</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195</w:t>
            </w:r>
          </w:p>
        </w:tc>
      </w:tr>
      <w:tr>
        <w:tblPrEx>
          <w:tblCellMar>
            <w:top w:w="0" w:type="dxa"/>
            <w:left w:w="108" w:type="dxa"/>
            <w:bottom w:w="0" w:type="dxa"/>
            <w:right w:w="108" w:type="dxa"/>
          </w:tblCellMar>
        </w:tblPrEx>
        <w:trPr>
          <w:trHeight w:val="300" w:hRule="atLeast"/>
        </w:trPr>
        <w:tc>
          <w:tcPr>
            <w:tcW w:w="2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用途</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407"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区域因素</w:t>
            </w:r>
          </w:p>
        </w:tc>
        <w:tc>
          <w:tcPr>
            <w:tcW w:w="2097"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区域位置</w:t>
            </w:r>
          </w:p>
        </w:tc>
        <w:tc>
          <w:tcPr>
            <w:tcW w:w="1305"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101</w:t>
            </w:r>
          </w:p>
        </w:tc>
        <w:tc>
          <w:tcPr>
            <w:tcW w:w="1749"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基础设施状况</w:t>
            </w:r>
          </w:p>
        </w:tc>
        <w:tc>
          <w:tcPr>
            <w:tcW w:w="1305"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34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交通状况</w:t>
            </w:r>
          </w:p>
        </w:tc>
        <w:tc>
          <w:tcPr>
            <w:tcW w:w="1305"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101</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101</w:t>
            </w:r>
          </w:p>
        </w:tc>
        <w:tc>
          <w:tcPr>
            <w:tcW w:w="1749"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101</w:t>
            </w:r>
          </w:p>
        </w:tc>
      </w:tr>
      <w:tr>
        <w:tblPrEx>
          <w:tblCellMar>
            <w:top w:w="0" w:type="dxa"/>
            <w:left w:w="108" w:type="dxa"/>
            <w:bottom w:w="0" w:type="dxa"/>
            <w:right w:w="108" w:type="dxa"/>
          </w:tblCellMar>
        </w:tblPrEx>
        <w:trPr>
          <w:trHeight w:val="567"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产业集聚及配套协作状况</w:t>
            </w:r>
          </w:p>
        </w:tc>
        <w:tc>
          <w:tcPr>
            <w:tcW w:w="1305"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99</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99</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环境状况</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453"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自然条件</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416"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城市规划限制</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281"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个别因素</w:t>
            </w:r>
          </w:p>
        </w:tc>
        <w:tc>
          <w:tcPr>
            <w:tcW w:w="2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地基</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地形</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开发程度</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295"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宗地面积</w:t>
            </w:r>
          </w:p>
        </w:tc>
        <w:tc>
          <w:tcPr>
            <w:tcW w:w="1305"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98</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99</w:t>
            </w:r>
          </w:p>
        </w:tc>
        <w:tc>
          <w:tcPr>
            <w:tcW w:w="1749"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99</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宗地形状</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临路状况</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132"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接近交通设施距离</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c>
          <w:tcPr>
            <w:tcW w:w="174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土地使用年期</w:t>
            </w:r>
          </w:p>
        </w:tc>
        <w:tc>
          <w:tcPr>
            <w:tcW w:w="1305"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0.9611 </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0.9661 </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0.9661 </w:t>
            </w:r>
          </w:p>
        </w:tc>
        <w:tc>
          <w:tcPr>
            <w:tcW w:w="1749"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0.9661 </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2097"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ascii="仿宋" w:hAnsi="仿宋" w:eastAsia="仿宋" w:cs="仿宋"/>
                <w:szCs w:val="21"/>
              </w:rPr>
              <w:t>其他因素</w:t>
            </w:r>
          </w:p>
        </w:tc>
        <w:tc>
          <w:tcPr>
            <w:tcW w:w="1305"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ascii="仿宋" w:hAnsi="仿宋" w:eastAsia="仿宋" w:cs="仿宋"/>
                <w:szCs w:val="21"/>
              </w:rPr>
              <w:t>100</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ascii="仿宋" w:hAnsi="仿宋" w:eastAsia="仿宋" w:cs="仿宋"/>
                <w:szCs w:val="21"/>
              </w:rPr>
              <w:t>96</w:t>
            </w:r>
          </w:p>
        </w:tc>
        <w:tc>
          <w:tcPr>
            <w:tcW w:w="1748"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ascii="仿宋" w:hAnsi="仿宋" w:eastAsia="仿宋" w:cs="仿宋"/>
                <w:szCs w:val="21"/>
              </w:rPr>
              <w:t>96</w:t>
            </w:r>
          </w:p>
        </w:tc>
        <w:tc>
          <w:tcPr>
            <w:tcW w:w="1749"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仿宋" w:hAnsi="仿宋" w:eastAsia="仿宋" w:cs="仿宋"/>
                <w:szCs w:val="21"/>
              </w:rPr>
            </w:pPr>
            <w:r>
              <w:rPr>
                <w:rFonts w:ascii="仿宋" w:hAnsi="仿宋" w:eastAsia="仿宋" w:cs="仿宋"/>
                <w:szCs w:val="21"/>
              </w:rPr>
              <w:t>96</w:t>
            </w:r>
          </w:p>
        </w:tc>
      </w:tr>
    </w:tbl>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估价对象的“其他因素”为被评估企业取得岸线许可、河道占用证用于建设码头，码头建成投入使用对估价对象是利好，有助于估价对象的价值提升。</w:t>
      </w:r>
    </w:p>
    <w:tbl>
      <w:tblPr>
        <w:tblStyle w:val="54"/>
        <w:tblW w:w="9072" w:type="dxa"/>
        <w:tblInd w:w="108" w:type="dxa"/>
        <w:tblLayout w:type="autofit"/>
        <w:tblCellMar>
          <w:top w:w="0" w:type="dxa"/>
          <w:left w:w="108" w:type="dxa"/>
          <w:bottom w:w="0" w:type="dxa"/>
          <w:right w:w="108" w:type="dxa"/>
        </w:tblCellMar>
      </w:tblPr>
      <w:tblGrid>
        <w:gridCol w:w="709"/>
        <w:gridCol w:w="2410"/>
        <w:gridCol w:w="1984"/>
        <w:gridCol w:w="1984"/>
        <w:gridCol w:w="1985"/>
      </w:tblGrid>
      <w:tr>
        <w:tblPrEx>
          <w:tblCellMar>
            <w:top w:w="0" w:type="dxa"/>
            <w:left w:w="108" w:type="dxa"/>
            <w:bottom w:w="0" w:type="dxa"/>
            <w:right w:w="108" w:type="dxa"/>
          </w:tblCellMar>
        </w:tblPrEx>
        <w:trPr>
          <w:trHeight w:val="582" w:hRule="atLeast"/>
        </w:trPr>
        <w:tc>
          <w:tcPr>
            <w:tcW w:w="9072" w:type="dxa"/>
            <w:gridSpan w:val="5"/>
            <w:tcBorders>
              <w:top w:val="nil"/>
              <w:left w:val="nil"/>
              <w:bottom w:val="nil"/>
              <w:right w:val="nil"/>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宗地因素修正系数表</w:t>
            </w:r>
          </w:p>
        </w:tc>
      </w:tr>
      <w:tr>
        <w:tblPrEx>
          <w:tblCellMar>
            <w:top w:w="0" w:type="dxa"/>
            <w:left w:w="108" w:type="dxa"/>
            <w:bottom w:w="0" w:type="dxa"/>
            <w:right w:w="108" w:type="dxa"/>
          </w:tblCellMar>
        </w:tblPrEx>
        <w:trPr>
          <w:trHeight w:val="285" w:hRule="atLeast"/>
        </w:trPr>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比较因素</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案例1</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案例2</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案例3</w:t>
            </w:r>
          </w:p>
        </w:tc>
      </w:tr>
      <w:tr>
        <w:tblPrEx>
          <w:tblCellMar>
            <w:top w:w="0" w:type="dxa"/>
            <w:left w:w="108" w:type="dxa"/>
            <w:bottom w:w="0" w:type="dxa"/>
            <w:right w:w="108" w:type="dxa"/>
          </w:tblCellMar>
        </w:tblPrEx>
        <w:trPr>
          <w:trHeight w:val="285" w:hRule="atLeast"/>
        </w:trPr>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土地编号</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2019-G-01</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2019-港-G-08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ascii="仿宋" w:hAnsi="仿宋" w:eastAsia="仿宋" w:cs="仿宋"/>
                <w:szCs w:val="21"/>
              </w:rPr>
              <w:t>2019-G-</w:t>
            </w:r>
            <w:r>
              <w:rPr>
                <w:rFonts w:hint="eastAsia" w:ascii="仿宋" w:hAnsi="仿宋" w:eastAsia="仿宋" w:cs="仿宋"/>
                <w:szCs w:val="21"/>
              </w:rPr>
              <w:t>2</w:t>
            </w:r>
            <w:r>
              <w:rPr>
                <w:rFonts w:ascii="仿宋" w:hAnsi="仿宋" w:eastAsia="仿宋" w:cs="仿宋"/>
                <w:szCs w:val="21"/>
              </w:rPr>
              <w:t>6</w:t>
            </w:r>
          </w:p>
        </w:tc>
      </w:tr>
      <w:tr>
        <w:tblPrEx>
          <w:tblCellMar>
            <w:top w:w="0" w:type="dxa"/>
            <w:left w:w="108" w:type="dxa"/>
            <w:bottom w:w="0" w:type="dxa"/>
            <w:right w:w="108" w:type="dxa"/>
          </w:tblCellMar>
        </w:tblPrEx>
        <w:trPr>
          <w:trHeight w:val="300" w:hRule="atLeast"/>
        </w:trPr>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交易时间</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285" w:hRule="atLeast"/>
        </w:trPr>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交易情况</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285" w:hRule="atLeast"/>
        </w:trPr>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交易方式</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300" w:hRule="atLeast"/>
        </w:trPr>
        <w:tc>
          <w:tcPr>
            <w:tcW w:w="311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土地单价（元/平米）</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195</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195</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195</w:t>
            </w:r>
          </w:p>
        </w:tc>
      </w:tr>
      <w:tr>
        <w:tblPrEx>
          <w:tblCellMar>
            <w:top w:w="0" w:type="dxa"/>
            <w:left w:w="108" w:type="dxa"/>
            <w:bottom w:w="0" w:type="dxa"/>
            <w:right w:w="108" w:type="dxa"/>
          </w:tblCellMar>
        </w:tblPrEx>
        <w:trPr>
          <w:trHeight w:val="300" w:hRule="atLeast"/>
        </w:trPr>
        <w:tc>
          <w:tcPr>
            <w:tcW w:w="311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用途</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302" w:hRule="atLeast"/>
        </w:trPr>
        <w:tc>
          <w:tcPr>
            <w:tcW w:w="709"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区域因素</w:t>
            </w: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区域位置</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0.9901</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264"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基础设施状况</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367"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交通状况</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0.9901</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0.9901</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0.9901</w:t>
            </w:r>
          </w:p>
        </w:tc>
      </w:tr>
      <w:tr>
        <w:tblPrEx>
          <w:tblCellMar>
            <w:top w:w="0" w:type="dxa"/>
            <w:left w:w="108" w:type="dxa"/>
            <w:bottom w:w="0" w:type="dxa"/>
            <w:right w:w="108" w:type="dxa"/>
          </w:tblCellMar>
        </w:tblPrEx>
        <w:trPr>
          <w:trHeight w:val="414"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产业集聚及配套协作状况</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1.0101</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1.0101</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环境状况</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315"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自然条件</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341" w:hRule="atLeast"/>
        </w:trPr>
        <w:tc>
          <w:tcPr>
            <w:tcW w:w="7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城市规划限制</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000000"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个别因素</w:t>
            </w: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地基</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地形</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开发程度</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211"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宗地面积</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1.0204</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1.0101</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1.0101</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宗地形状</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临路状况</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315"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接近交通设施距离</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1.00 </w:t>
            </w:r>
          </w:p>
        </w:tc>
      </w:tr>
      <w:tr>
        <w:tblPrEx>
          <w:tblCellMar>
            <w:top w:w="0" w:type="dxa"/>
            <w:left w:w="108" w:type="dxa"/>
            <w:bottom w:w="0" w:type="dxa"/>
            <w:right w:w="108" w:type="dxa"/>
          </w:tblCellMar>
        </w:tblPrEx>
        <w:trPr>
          <w:trHeight w:val="283"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土地使用年期</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0.9948</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0.9948</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0.9948</w:t>
            </w:r>
          </w:p>
        </w:tc>
      </w:tr>
      <w:tr>
        <w:tblPrEx>
          <w:tblCellMar>
            <w:top w:w="0" w:type="dxa"/>
            <w:left w:w="108" w:type="dxa"/>
            <w:bottom w:w="0" w:type="dxa"/>
            <w:right w:w="108" w:type="dxa"/>
          </w:tblCellMar>
        </w:tblPrEx>
        <w:trPr>
          <w:trHeight w:val="285" w:hRule="atLeast"/>
        </w:trPr>
        <w:tc>
          <w:tcPr>
            <w:tcW w:w="709"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widowControl/>
              <w:jc w:val="center"/>
              <w:rPr>
                <w:rFonts w:ascii="仿宋" w:hAnsi="仿宋" w:eastAsia="仿宋" w:cs="仿宋"/>
                <w:szCs w:val="21"/>
              </w:rPr>
            </w:pPr>
          </w:p>
        </w:tc>
        <w:tc>
          <w:tcPr>
            <w:tcW w:w="241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其他因素</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1.0417</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1.0417</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1.0417</w:t>
            </w:r>
          </w:p>
        </w:tc>
      </w:tr>
      <w:tr>
        <w:tblPrEx>
          <w:tblCellMar>
            <w:top w:w="0" w:type="dxa"/>
            <w:left w:w="108" w:type="dxa"/>
            <w:bottom w:w="0" w:type="dxa"/>
            <w:right w:w="108" w:type="dxa"/>
          </w:tblCellMar>
        </w:tblPrEx>
        <w:trPr>
          <w:trHeight w:val="285" w:hRule="atLeast"/>
        </w:trPr>
        <w:tc>
          <w:tcPr>
            <w:tcW w:w="3119"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pPr>
              <w:widowControl/>
              <w:jc w:val="center"/>
              <w:rPr>
                <w:rFonts w:ascii="仿宋" w:hAnsi="仿宋" w:eastAsia="仿宋" w:cs="仿宋"/>
                <w:szCs w:val="21"/>
              </w:rPr>
            </w:pPr>
            <w:r>
              <w:rPr>
                <w:rFonts w:hint="eastAsia" w:ascii="仿宋" w:hAnsi="仿宋" w:eastAsia="仿宋" w:cs="仿宋"/>
                <w:szCs w:val="21"/>
              </w:rPr>
              <w:t>比准价格（元/平米）</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206.00 </w:t>
            </w:r>
          </w:p>
        </w:tc>
        <w:tc>
          <w:tcPr>
            <w:tcW w:w="1984"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200.00 </w:t>
            </w:r>
          </w:p>
        </w:tc>
        <w:tc>
          <w:tcPr>
            <w:tcW w:w="198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szCs w:val="21"/>
              </w:rPr>
            </w:pPr>
            <w:r>
              <w:rPr>
                <w:rFonts w:hint="eastAsia" w:ascii="仿宋" w:hAnsi="仿宋" w:eastAsia="仿宋" w:cs="仿宋"/>
                <w:szCs w:val="21"/>
              </w:rPr>
              <w:t xml:space="preserve">204.00 </w:t>
            </w:r>
          </w:p>
        </w:tc>
      </w:tr>
      <w:tr>
        <w:tblPrEx>
          <w:tblCellMar>
            <w:top w:w="0" w:type="dxa"/>
            <w:left w:w="108" w:type="dxa"/>
            <w:bottom w:w="0" w:type="dxa"/>
            <w:right w:w="108" w:type="dxa"/>
          </w:tblCellMar>
        </w:tblPrEx>
        <w:trPr>
          <w:trHeight w:val="285" w:hRule="atLeast"/>
        </w:trPr>
        <w:tc>
          <w:tcPr>
            <w:tcW w:w="311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szCs w:val="21"/>
              </w:rPr>
            </w:pPr>
            <w:r>
              <w:rPr>
                <w:rFonts w:hint="eastAsia" w:ascii="仿宋" w:hAnsi="仿宋" w:eastAsia="仿宋" w:cs="仿宋"/>
                <w:szCs w:val="21"/>
              </w:rPr>
              <w:t>最终价格（元/平米）</w:t>
            </w:r>
          </w:p>
        </w:tc>
        <w:tc>
          <w:tcPr>
            <w:tcW w:w="595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203</w:t>
            </w:r>
          </w:p>
        </w:tc>
      </w:tr>
    </w:tbl>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估价对象单价=（</w:t>
      </w:r>
      <w:r>
        <w:rPr>
          <w:rFonts w:ascii="仿宋" w:hAnsi="仿宋" w:eastAsia="仿宋" w:cs="仿宋"/>
          <w:sz w:val="28"/>
          <w:szCs w:val="28"/>
        </w:rPr>
        <w:t>206</w:t>
      </w:r>
      <w:r>
        <w:rPr>
          <w:rFonts w:hint="eastAsia" w:ascii="仿宋" w:hAnsi="仿宋" w:eastAsia="仿宋" w:cs="仿宋"/>
          <w:sz w:val="28"/>
          <w:szCs w:val="28"/>
        </w:rPr>
        <w:t>+</w:t>
      </w:r>
      <w:r>
        <w:rPr>
          <w:rFonts w:ascii="仿宋" w:hAnsi="仿宋" w:eastAsia="仿宋" w:cs="仿宋"/>
          <w:sz w:val="28"/>
          <w:szCs w:val="28"/>
        </w:rPr>
        <w:t>200</w:t>
      </w:r>
      <w:r>
        <w:rPr>
          <w:rFonts w:hint="eastAsia" w:ascii="仿宋" w:hAnsi="仿宋" w:eastAsia="仿宋" w:cs="仿宋"/>
          <w:sz w:val="28"/>
          <w:szCs w:val="28"/>
        </w:rPr>
        <w:t>+</w:t>
      </w:r>
      <w:r>
        <w:rPr>
          <w:rFonts w:ascii="仿宋" w:hAnsi="仿宋" w:eastAsia="仿宋" w:cs="仿宋"/>
          <w:sz w:val="28"/>
          <w:szCs w:val="28"/>
        </w:rPr>
        <w:t>204</w:t>
      </w:r>
      <w:r>
        <w:rPr>
          <w:rFonts w:hint="eastAsia" w:ascii="仿宋" w:hAnsi="仿宋" w:eastAsia="仿宋" w:cs="仿宋"/>
          <w:sz w:val="28"/>
          <w:szCs w:val="28"/>
        </w:rPr>
        <w:t>）÷3</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203</w:t>
      </w:r>
      <w:r>
        <w:rPr>
          <w:rFonts w:hint="eastAsia" w:ascii="仿宋" w:hAnsi="仿宋" w:eastAsia="仿宋" w:cs="仿宋"/>
          <w:sz w:val="28"/>
          <w:szCs w:val="28"/>
        </w:rPr>
        <w:t>元/平方米</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估价对象评估值为：</w:t>
      </w:r>
    </w:p>
    <w:tbl>
      <w:tblPr>
        <w:tblStyle w:val="55"/>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2025"/>
        <w:gridCol w:w="1845"/>
        <w:gridCol w:w="1894"/>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2025"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1845"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账面金额（元）</w:t>
            </w:r>
          </w:p>
        </w:tc>
        <w:tc>
          <w:tcPr>
            <w:tcW w:w="1894"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评估值（元）</w:t>
            </w:r>
          </w:p>
        </w:tc>
        <w:tc>
          <w:tcPr>
            <w:tcW w:w="1894" w:type="dxa"/>
            <w:vAlign w:val="center"/>
          </w:tcPr>
          <w:p>
            <w:pPr>
              <w:spacing w:before="156" w:beforeLines="50"/>
              <w:jc w:val="center"/>
              <w:rPr>
                <w:rFonts w:ascii="仿宋" w:hAnsi="仿宋" w:eastAsia="仿宋" w:cs="仿宋"/>
                <w:b/>
                <w:bCs/>
                <w:sz w:val="21"/>
                <w:szCs w:val="21"/>
                <w:lang w:bidi="en-US"/>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pPr>
              <w:spacing w:before="156" w:beforeLines="50"/>
              <w:jc w:val="center"/>
              <w:rPr>
                <w:rFonts w:ascii="仿宋" w:hAnsi="仿宋" w:eastAsia="仿宋" w:cs="仿宋"/>
                <w:sz w:val="21"/>
                <w:szCs w:val="21"/>
              </w:rPr>
            </w:pPr>
            <w:r>
              <w:rPr>
                <w:rFonts w:hint="eastAsia" w:ascii="仿宋" w:hAnsi="仿宋" w:eastAsia="仿宋" w:cs="仿宋"/>
                <w:sz w:val="21"/>
                <w:szCs w:val="21"/>
              </w:rPr>
              <w:t>1</w:t>
            </w:r>
          </w:p>
        </w:tc>
        <w:tc>
          <w:tcPr>
            <w:tcW w:w="2025" w:type="dxa"/>
            <w:vAlign w:val="center"/>
          </w:tcPr>
          <w:p>
            <w:pPr>
              <w:spacing w:before="156" w:beforeLines="50"/>
              <w:jc w:val="center"/>
              <w:rPr>
                <w:rFonts w:ascii="仿宋" w:hAnsi="仿宋" w:eastAsia="仿宋" w:cs="仿宋"/>
                <w:sz w:val="21"/>
                <w:szCs w:val="21"/>
              </w:rPr>
            </w:pPr>
            <w:r>
              <w:rPr>
                <w:rFonts w:hint="eastAsia" w:ascii="仿宋" w:hAnsi="仿宋" w:eastAsia="仿宋" w:cs="仿宋"/>
                <w:sz w:val="21"/>
                <w:szCs w:val="21"/>
              </w:rPr>
              <w:t>土地使用权</w:t>
            </w:r>
          </w:p>
        </w:tc>
        <w:tc>
          <w:tcPr>
            <w:tcW w:w="1845" w:type="dxa"/>
            <w:vAlign w:val="center"/>
          </w:tcPr>
          <w:p>
            <w:pPr>
              <w:spacing w:before="156" w:beforeLines="50"/>
              <w:jc w:val="center"/>
              <w:rPr>
                <w:rFonts w:ascii="仿宋" w:hAnsi="仿宋" w:eastAsia="仿宋" w:cs="仿宋"/>
                <w:sz w:val="21"/>
                <w:szCs w:val="21"/>
              </w:rPr>
            </w:pPr>
            <w:r>
              <w:rPr>
                <w:rFonts w:hint="eastAsia" w:ascii="仿宋" w:hAnsi="仿宋" w:eastAsia="仿宋" w:cs="仿宋"/>
                <w:sz w:val="21"/>
                <w:szCs w:val="21"/>
              </w:rPr>
              <w:t>10,688,281.49</w:t>
            </w:r>
          </w:p>
        </w:tc>
        <w:tc>
          <w:tcPr>
            <w:tcW w:w="1894" w:type="dxa"/>
            <w:vAlign w:val="center"/>
          </w:tcPr>
          <w:p>
            <w:pPr>
              <w:spacing w:before="156" w:beforeLines="50"/>
              <w:jc w:val="center"/>
              <w:rPr>
                <w:rFonts w:ascii="仿宋" w:hAnsi="仿宋" w:eastAsia="仿宋" w:cs="仿宋"/>
                <w:sz w:val="21"/>
                <w:szCs w:val="21"/>
              </w:rPr>
            </w:pPr>
            <w:r>
              <w:rPr>
                <w:rFonts w:ascii="仿宋" w:hAnsi="仿宋" w:eastAsia="仿宋" w:cs="仿宋"/>
                <w:sz w:val="21"/>
                <w:szCs w:val="21"/>
              </w:rPr>
              <w:t>13</w:t>
            </w:r>
            <w:r>
              <w:rPr>
                <w:rFonts w:hint="eastAsia" w:ascii="仿宋" w:hAnsi="仿宋" w:eastAsia="仿宋" w:cs="仿宋"/>
                <w:sz w:val="21"/>
                <w:szCs w:val="21"/>
              </w:rPr>
              <w:t>，</w:t>
            </w:r>
            <w:r>
              <w:rPr>
                <w:rFonts w:ascii="仿宋" w:hAnsi="仿宋" w:eastAsia="仿宋" w:cs="仿宋"/>
                <w:sz w:val="21"/>
                <w:szCs w:val="21"/>
              </w:rPr>
              <w:t>073</w:t>
            </w: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00.00</w:t>
            </w:r>
          </w:p>
        </w:tc>
        <w:tc>
          <w:tcPr>
            <w:tcW w:w="1894" w:type="dxa"/>
            <w:vAlign w:val="center"/>
          </w:tcPr>
          <w:p>
            <w:pPr>
              <w:spacing w:before="156" w:beforeLines="50"/>
              <w:jc w:val="center"/>
              <w:rPr>
                <w:rFonts w:ascii="仿宋" w:hAnsi="仿宋" w:eastAsia="仿宋" w:cs="仿宋"/>
                <w:sz w:val="21"/>
                <w:szCs w:val="21"/>
                <w:lang w:bidi="en-US"/>
              </w:rPr>
            </w:pPr>
          </w:p>
        </w:tc>
      </w:tr>
    </w:tbl>
    <w:p>
      <w:pPr>
        <w:pStyle w:val="3"/>
        <w:adjustRightInd/>
        <w:spacing w:before="0" w:after="0" w:line="480" w:lineRule="exact"/>
        <w:ind w:left="0" w:firstLine="560" w:firstLineChars="200"/>
        <w:contextualSpacing/>
        <w:rPr>
          <w:rFonts w:ascii="仿宋" w:hAnsi="仿宋" w:eastAsia="仿宋" w:cs="仿宋"/>
          <w:sz w:val="28"/>
          <w:szCs w:val="28"/>
        </w:rPr>
      </w:pPr>
      <w:bookmarkStart w:id="82" w:name="_Toc29036"/>
      <w:r>
        <w:rPr>
          <w:rFonts w:hint="eastAsia" w:ascii="仿宋" w:hAnsi="仿宋" w:eastAsia="仿宋" w:cs="仿宋"/>
          <w:sz w:val="28"/>
          <w:szCs w:val="28"/>
        </w:rPr>
        <w:t>（六）评估结果及分析</w:t>
      </w:r>
      <w:bookmarkEnd w:id="82"/>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1.评估结果</w:t>
      </w:r>
    </w:p>
    <w:p>
      <w:pPr>
        <w:adjustRightInd w:val="0"/>
        <w:spacing w:line="480" w:lineRule="exact"/>
        <w:ind w:firstLine="560" w:firstLineChars="200"/>
        <w:rPr>
          <w:rFonts w:ascii="仿宋" w:hAnsi="仿宋" w:eastAsia="仿宋" w:cs="仿宋"/>
          <w:sz w:val="28"/>
        </w:rPr>
      </w:pPr>
      <w:r>
        <w:rPr>
          <w:rFonts w:hint="eastAsia" w:ascii="仿宋" w:hAnsi="仿宋" w:eastAsia="仿宋" w:cs="仿宋"/>
          <w:sz w:val="28"/>
        </w:rPr>
        <w:t>江苏焦点粮食储运有限公司此次申报评估的资产类资产的账面账面净值合计</w:t>
      </w:r>
      <w:r>
        <w:rPr>
          <w:rFonts w:ascii="仿宋" w:hAnsi="仿宋" w:eastAsia="仿宋" w:cs="仿宋"/>
          <w:sz w:val="28"/>
        </w:rPr>
        <w:t>12</w:t>
      </w:r>
      <w:r>
        <w:rPr>
          <w:rFonts w:hint="eastAsia" w:ascii="仿宋" w:hAnsi="仿宋" w:eastAsia="仿宋" w:cs="仿宋"/>
          <w:sz w:val="28"/>
        </w:rPr>
        <w:t>，8</w:t>
      </w:r>
      <w:r>
        <w:rPr>
          <w:rFonts w:ascii="仿宋" w:hAnsi="仿宋" w:eastAsia="仿宋" w:cs="仿宋"/>
          <w:sz w:val="28"/>
        </w:rPr>
        <w:t>45</w:t>
      </w:r>
      <w:r>
        <w:rPr>
          <w:rFonts w:hint="eastAsia" w:ascii="仿宋" w:hAnsi="仿宋" w:eastAsia="仿宋" w:cs="仿宋"/>
          <w:sz w:val="28"/>
        </w:rPr>
        <w:t>，9</w:t>
      </w:r>
      <w:r>
        <w:rPr>
          <w:rFonts w:ascii="仿宋" w:hAnsi="仿宋" w:eastAsia="仿宋" w:cs="仿宋"/>
          <w:sz w:val="28"/>
        </w:rPr>
        <w:t>19</w:t>
      </w:r>
      <w:r>
        <w:rPr>
          <w:rFonts w:hint="eastAsia" w:ascii="仿宋" w:hAnsi="仿宋" w:eastAsia="仿宋" w:cs="仿宋"/>
          <w:sz w:val="28"/>
        </w:rPr>
        <w:t>.</w:t>
      </w:r>
      <w:r>
        <w:rPr>
          <w:rFonts w:ascii="仿宋" w:hAnsi="仿宋" w:eastAsia="仿宋" w:cs="仿宋"/>
          <w:sz w:val="28"/>
        </w:rPr>
        <w:t>65</w:t>
      </w:r>
      <w:r>
        <w:rPr>
          <w:rFonts w:hint="eastAsia" w:ascii="仿宋" w:hAnsi="仿宋" w:eastAsia="仿宋" w:cs="仿宋"/>
          <w:sz w:val="28"/>
        </w:rPr>
        <w:t>元；评估净值为1,</w:t>
      </w:r>
      <w:r>
        <w:rPr>
          <w:rFonts w:ascii="仿宋" w:hAnsi="仿宋" w:eastAsia="仿宋" w:cs="仿宋"/>
          <w:sz w:val="28"/>
        </w:rPr>
        <w:t>523</w:t>
      </w:r>
      <w:r>
        <w:rPr>
          <w:rFonts w:hint="eastAsia" w:ascii="仿宋" w:hAnsi="仿宋" w:eastAsia="仿宋" w:cs="仿宋"/>
          <w:sz w:val="28"/>
        </w:rPr>
        <w:t>.</w:t>
      </w:r>
      <w:r>
        <w:rPr>
          <w:rFonts w:ascii="仿宋" w:hAnsi="仿宋" w:eastAsia="仿宋" w:cs="仿宋"/>
          <w:sz w:val="28"/>
        </w:rPr>
        <w:t>10</w:t>
      </w:r>
      <w:r>
        <w:rPr>
          <w:rFonts w:hint="eastAsia" w:ascii="仿宋" w:hAnsi="仿宋" w:eastAsia="仿宋" w:cs="仿宋"/>
          <w:sz w:val="28"/>
        </w:rPr>
        <w:t>万元，评估净值比账面净值增值238.51万元，增值率为</w:t>
      </w:r>
      <w:r>
        <w:rPr>
          <w:rFonts w:ascii="仿宋" w:hAnsi="仿宋" w:eastAsia="仿宋" w:cs="仿宋"/>
          <w:sz w:val="28"/>
        </w:rPr>
        <w:t>18</w:t>
      </w:r>
      <w:r>
        <w:rPr>
          <w:rFonts w:hint="eastAsia" w:ascii="仿宋" w:hAnsi="仿宋" w:eastAsia="仿宋" w:cs="仿宋"/>
          <w:sz w:val="28"/>
        </w:rPr>
        <w:t>.</w:t>
      </w:r>
      <w:r>
        <w:rPr>
          <w:rFonts w:ascii="仿宋" w:hAnsi="仿宋" w:eastAsia="仿宋" w:cs="仿宋"/>
          <w:sz w:val="28"/>
        </w:rPr>
        <w:t>57</w:t>
      </w:r>
      <w:r>
        <w:rPr>
          <w:rFonts w:hint="eastAsia" w:ascii="仿宋" w:hAnsi="仿宋" w:eastAsia="仿宋" w:cs="仿宋"/>
          <w:sz w:val="28"/>
        </w:rPr>
        <w:t>%。</w:t>
      </w:r>
    </w:p>
    <w:p>
      <w:pPr>
        <w:spacing w:line="480" w:lineRule="exact"/>
        <w:contextualSpacing/>
        <w:jc w:val="center"/>
        <w:rPr>
          <w:rFonts w:ascii="仿宋" w:hAnsi="仿宋" w:eastAsia="仿宋" w:cs="仿宋"/>
          <w:sz w:val="28"/>
        </w:rPr>
      </w:pPr>
      <w:r>
        <w:rPr>
          <w:rFonts w:hint="eastAsia" w:ascii="仿宋" w:hAnsi="仿宋" w:eastAsia="仿宋" w:cs="仿宋"/>
          <w:sz w:val="28"/>
        </w:rPr>
        <w:t>资产评估结果汇总表</w:t>
      </w:r>
    </w:p>
    <w:p>
      <w:pPr>
        <w:adjustRightInd w:val="0"/>
        <w:snapToGrid w:val="0"/>
        <w:spacing w:line="480" w:lineRule="exact"/>
        <w:ind w:left="6663"/>
        <w:jc w:val="right"/>
        <w:rPr>
          <w:rFonts w:ascii="仿宋" w:hAnsi="仿宋" w:eastAsia="仿宋" w:cs="仿宋"/>
          <w:sz w:val="24"/>
        </w:rPr>
      </w:pPr>
      <w:r>
        <w:rPr>
          <w:rFonts w:hint="eastAsia" w:ascii="仿宋" w:hAnsi="仿宋" w:eastAsia="仿宋" w:cs="仿宋"/>
          <w:sz w:val="24"/>
        </w:rPr>
        <w:t>金额单位：人民币</w:t>
      </w:r>
      <w:r>
        <w:rPr>
          <w:rFonts w:hint="eastAsia" w:ascii="仿宋" w:hAnsi="仿宋" w:eastAsia="仿宋" w:cs="仿宋"/>
          <w:sz w:val="24"/>
          <w:lang w:eastAsia="zh-CN"/>
        </w:rPr>
        <w:t>万</w:t>
      </w:r>
      <w:r>
        <w:rPr>
          <w:rFonts w:hint="eastAsia" w:ascii="仿宋" w:hAnsi="仿宋" w:eastAsia="仿宋" w:cs="仿宋"/>
          <w:sz w:val="24"/>
        </w:rPr>
        <w:t>元</w:t>
      </w:r>
    </w:p>
    <w:tbl>
      <w:tblPr>
        <w:tblStyle w:val="5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3135"/>
        <w:gridCol w:w="1905"/>
        <w:gridCol w:w="195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3135"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1905"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账面金额（万元）</w:t>
            </w:r>
          </w:p>
        </w:tc>
        <w:tc>
          <w:tcPr>
            <w:tcW w:w="1950" w:type="dxa"/>
            <w:vAlign w:val="center"/>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评估值（万元）</w:t>
            </w:r>
          </w:p>
        </w:tc>
        <w:tc>
          <w:tcPr>
            <w:tcW w:w="1463" w:type="dxa"/>
            <w:vAlign w:val="center"/>
          </w:tcPr>
          <w:p>
            <w:pPr>
              <w:spacing w:before="156" w:beforeLines="50"/>
              <w:jc w:val="center"/>
              <w:rPr>
                <w:rFonts w:ascii="仿宋" w:hAnsi="仿宋" w:eastAsia="仿宋" w:cs="仿宋"/>
                <w:b/>
                <w:bCs/>
                <w:sz w:val="21"/>
                <w:szCs w:val="21"/>
                <w:lang w:bidi="en-US"/>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pPr>
              <w:spacing w:before="156" w:beforeLines="50"/>
              <w:jc w:val="center"/>
              <w:rPr>
                <w:rFonts w:hint="eastAsia" w:ascii="仿宋" w:hAnsi="仿宋" w:eastAsia="仿宋" w:cs="仿宋"/>
                <w:sz w:val="21"/>
                <w:szCs w:val="21"/>
              </w:rPr>
            </w:pPr>
            <w:r>
              <w:rPr>
                <w:rFonts w:hint="eastAsia" w:ascii="仿宋" w:hAnsi="仿宋" w:eastAsia="仿宋" w:cs="仿宋"/>
                <w:sz w:val="21"/>
                <w:szCs w:val="21"/>
              </w:rPr>
              <w:t>1</w:t>
            </w:r>
          </w:p>
        </w:tc>
        <w:tc>
          <w:tcPr>
            <w:tcW w:w="3135" w:type="dxa"/>
            <w:vAlign w:val="center"/>
          </w:tcPr>
          <w:p>
            <w:pPr>
              <w:spacing w:before="156" w:beforeLines="50"/>
              <w:jc w:val="center"/>
              <w:rPr>
                <w:rFonts w:hint="eastAsia" w:ascii="仿宋" w:hAnsi="仿宋" w:eastAsia="仿宋" w:cs="仿宋"/>
                <w:sz w:val="21"/>
                <w:szCs w:val="21"/>
              </w:rPr>
            </w:pPr>
            <w:r>
              <w:rPr>
                <w:rFonts w:hint="eastAsia" w:ascii="仿宋" w:hAnsi="仿宋" w:eastAsia="仿宋" w:cs="仿宋"/>
                <w:sz w:val="21"/>
                <w:szCs w:val="21"/>
              </w:rPr>
              <w:t>其他应收款</w:t>
            </w:r>
          </w:p>
        </w:tc>
        <w:tc>
          <w:tcPr>
            <w:tcW w:w="1905" w:type="dxa"/>
            <w:vAlign w:val="center"/>
          </w:tcPr>
          <w:p>
            <w:pPr>
              <w:spacing w:before="156" w:beforeLines="50"/>
              <w:jc w:val="center"/>
              <w:rPr>
                <w:rFonts w:hint="eastAsia"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18</w:t>
            </w:r>
            <w:r>
              <w:rPr>
                <w:rFonts w:hint="eastAsia" w:ascii="仿宋" w:hAnsi="仿宋" w:eastAsia="仿宋" w:cs="仿宋"/>
                <w:sz w:val="21"/>
                <w:szCs w:val="21"/>
              </w:rPr>
              <w:t>.</w:t>
            </w:r>
            <w:r>
              <w:rPr>
                <w:rFonts w:ascii="仿宋" w:hAnsi="仿宋" w:eastAsia="仿宋" w:cs="仿宋"/>
                <w:sz w:val="21"/>
                <w:szCs w:val="21"/>
              </w:rPr>
              <w:t>31</w:t>
            </w:r>
          </w:p>
        </w:tc>
        <w:tc>
          <w:tcPr>
            <w:tcW w:w="1950" w:type="dxa"/>
            <w:vAlign w:val="center"/>
          </w:tcPr>
          <w:p>
            <w:pPr>
              <w:spacing w:before="156" w:beforeLines="50"/>
              <w:jc w:val="center"/>
              <w:rPr>
                <w:rFonts w:hint="eastAsia"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18</w:t>
            </w:r>
            <w:r>
              <w:rPr>
                <w:rFonts w:hint="eastAsia" w:ascii="仿宋" w:hAnsi="仿宋" w:eastAsia="仿宋" w:cs="仿宋"/>
                <w:sz w:val="21"/>
                <w:szCs w:val="21"/>
              </w:rPr>
              <w:t>.</w:t>
            </w:r>
            <w:r>
              <w:rPr>
                <w:rFonts w:ascii="仿宋" w:hAnsi="仿宋" w:eastAsia="仿宋" w:cs="仿宋"/>
                <w:sz w:val="21"/>
                <w:szCs w:val="21"/>
              </w:rPr>
              <w:t>31</w:t>
            </w:r>
          </w:p>
        </w:tc>
        <w:tc>
          <w:tcPr>
            <w:tcW w:w="1463" w:type="dxa"/>
            <w:vAlign w:val="center"/>
          </w:tcPr>
          <w:p>
            <w:pPr>
              <w:spacing w:before="156" w:beforeLines="5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pPr>
              <w:spacing w:before="156" w:beforeLines="50"/>
              <w:jc w:val="center"/>
              <w:rPr>
                <w:rFonts w:ascii="仿宋" w:hAnsi="仿宋" w:eastAsia="仿宋" w:cs="仿宋"/>
                <w:sz w:val="21"/>
                <w:szCs w:val="21"/>
              </w:rPr>
            </w:pPr>
            <w:r>
              <w:rPr>
                <w:rFonts w:ascii="仿宋" w:hAnsi="仿宋" w:eastAsia="仿宋" w:cs="仿宋"/>
                <w:sz w:val="21"/>
                <w:szCs w:val="21"/>
              </w:rPr>
              <w:t>2</w:t>
            </w:r>
          </w:p>
        </w:tc>
        <w:tc>
          <w:tcPr>
            <w:tcW w:w="3135" w:type="dxa"/>
            <w:vAlign w:val="center"/>
          </w:tcPr>
          <w:p>
            <w:pPr>
              <w:spacing w:before="156" w:beforeLines="50"/>
              <w:jc w:val="center"/>
              <w:rPr>
                <w:rFonts w:ascii="仿宋" w:hAnsi="仿宋" w:eastAsia="仿宋" w:cs="仿宋"/>
                <w:sz w:val="21"/>
                <w:szCs w:val="21"/>
              </w:rPr>
            </w:pPr>
            <w:r>
              <w:rPr>
                <w:rFonts w:hint="eastAsia" w:ascii="仿宋" w:hAnsi="仿宋" w:eastAsia="仿宋" w:cs="仿宋"/>
                <w:sz w:val="21"/>
                <w:szCs w:val="21"/>
              </w:rPr>
              <w:t>江苏焦点粮食仓储物流项目</w:t>
            </w:r>
          </w:p>
        </w:tc>
        <w:tc>
          <w:tcPr>
            <w:tcW w:w="1905"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98.90</w:t>
            </w:r>
          </w:p>
        </w:tc>
        <w:tc>
          <w:tcPr>
            <w:tcW w:w="1950" w:type="dxa"/>
            <w:vAlign w:val="center"/>
          </w:tcPr>
          <w:p>
            <w:pPr>
              <w:spacing w:before="156" w:beforeLines="50"/>
              <w:jc w:val="center"/>
              <w:rPr>
                <w:rFonts w:ascii="仿宋" w:hAnsi="仿宋" w:eastAsia="仿宋" w:cs="仿宋"/>
                <w:sz w:val="21"/>
                <w:szCs w:val="21"/>
              </w:rPr>
            </w:pPr>
            <w:r>
              <w:rPr>
                <w:rFonts w:hint="eastAsia" w:ascii="仿宋" w:hAnsi="仿宋" w:eastAsia="仿宋" w:cs="仿宋"/>
                <w:sz w:val="21"/>
                <w:szCs w:val="21"/>
              </w:rPr>
              <w:t>98.90</w:t>
            </w:r>
          </w:p>
        </w:tc>
        <w:tc>
          <w:tcPr>
            <w:tcW w:w="1463" w:type="dxa"/>
            <w:vAlign w:val="center"/>
          </w:tcPr>
          <w:p>
            <w:pPr>
              <w:spacing w:before="156" w:beforeLines="5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pPr>
              <w:spacing w:before="156" w:beforeLines="50"/>
              <w:jc w:val="center"/>
              <w:rPr>
                <w:rFonts w:ascii="仿宋" w:hAnsi="仿宋" w:eastAsia="仿宋" w:cs="仿宋"/>
                <w:sz w:val="21"/>
                <w:szCs w:val="21"/>
              </w:rPr>
            </w:pPr>
            <w:r>
              <w:rPr>
                <w:rFonts w:ascii="仿宋" w:hAnsi="仿宋" w:eastAsia="仿宋" w:cs="仿宋"/>
                <w:sz w:val="21"/>
                <w:szCs w:val="21"/>
              </w:rPr>
              <w:t>3</w:t>
            </w:r>
          </w:p>
        </w:tc>
        <w:tc>
          <w:tcPr>
            <w:tcW w:w="3135" w:type="dxa"/>
            <w:vAlign w:val="center"/>
          </w:tcPr>
          <w:p>
            <w:pPr>
              <w:spacing w:before="156" w:beforeLines="50"/>
              <w:jc w:val="center"/>
              <w:rPr>
                <w:rFonts w:ascii="仿宋" w:hAnsi="仿宋" w:eastAsia="仿宋" w:cs="仿宋"/>
                <w:sz w:val="21"/>
                <w:szCs w:val="21"/>
              </w:rPr>
            </w:pPr>
            <w:r>
              <w:rPr>
                <w:rFonts w:hint="eastAsia" w:ascii="仿宋" w:hAnsi="仿宋" w:eastAsia="仿宋" w:cs="仿宋"/>
                <w:sz w:val="21"/>
                <w:szCs w:val="21"/>
              </w:rPr>
              <w:t>土地</w:t>
            </w:r>
          </w:p>
        </w:tc>
        <w:tc>
          <w:tcPr>
            <w:tcW w:w="1905" w:type="dxa"/>
            <w:vAlign w:val="center"/>
          </w:tcPr>
          <w:p>
            <w:pPr>
              <w:spacing w:before="156" w:beforeLines="50"/>
              <w:jc w:val="center"/>
              <w:rPr>
                <w:rFonts w:ascii="仿宋" w:hAnsi="仿宋" w:eastAsia="仿宋" w:cs="仿宋"/>
                <w:sz w:val="21"/>
                <w:szCs w:val="21"/>
              </w:rPr>
            </w:pPr>
            <w:r>
              <w:rPr>
                <w:rFonts w:hint="eastAsia" w:ascii="仿宋" w:hAnsi="仿宋" w:eastAsia="仿宋" w:cs="仿宋"/>
                <w:sz w:val="21"/>
                <w:szCs w:val="21"/>
              </w:rPr>
              <w:t>1068.83</w:t>
            </w:r>
          </w:p>
        </w:tc>
        <w:tc>
          <w:tcPr>
            <w:tcW w:w="1950" w:type="dxa"/>
            <w:vAlign w:val="center"/>
          </w:tcPr>
          <w:p>
            <w:pPr>
              <w:spacing w:before="156" w:beforeLines="50"/>
              <w:jc w:val="center"/>
              <w:rPr>
                <w:rFonts w:ascii="仿宋" w:hAnsi="仿宋" w:eastAsia="仿宋" w:cs="仿宋"/>
                <w:sz w:val="21"/>
                <w:szCs w:val="21"/>
              </w:rPr>
            </w:pPr>
            <w:r>
              <w:rPr>
                <w:rFonts w:ascii="仿宋" w:hAnsi="仿宋" w:eastAsia="仿宋" w:cs="仿宋"/>
                <w:sz w:val="21"/>
                <w:szCs w:val="21"/>
              </w:rPr>
              <w:t>1307</w:t>
            </w:r>
            <w:r>
              <w:rPr>
                <w:rFonts w:hint="eastAsia" w:ascii="仿宋" w:hAnsi="仿宋" w:eastAsia="仿宋" w:cs="仿宋"/>
                <w:sz w:val="21"/>
                <w:szCs w:val="21"/>
              </w:rPr>
              <w:t>.</w:t>
            </w:r>
            <w:r>
              <w:rPr>
                <w:rFonts w:ascii="仿宋" w:hAnsi="仿宋" w:eastAsia="仿宋" w:cs="仿宋"/>
                <w:sz w:val="21"/>
                <w:szCs w:val="21"/>
              </w:rPr>
              <w:t>34</w:t>
            </w:r>
          </w:p>
        </w:tc>
        <w:tc>
          <w:tcPr>
            <w:tcW w:w="1463" w:type="dxa"/>
            <w:vAlign w:val="center"/>
          </w:tcPr>
          <w:p>
            <w:pPr>
              <w:spacing w:before="156" w:beforeLines="50"/>
              <w:jc w:val="center"/>
              <w:rPr>
                <w:rFonts w:ascii="仿宋" w:hAnsi="仿宋" w:eastAsia="仿宋" w:cs="仿宋"/>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9" w:type="dxa"/>
            <w:gridSpan w:val="2"/>
            <w:vAlign w:val="center"/>
          </w:tcPr>
          <w:p>
            <w:pPr>
              <w:spacing w:before="156" w:beforeLines="50"/>
              <w:jc w:val="center"/>
              <w:rPr>
                <w:rFonts w:ascii="仿宋" w:hAnsi="仿宋" w:eastAsia="仿宋" w:cs="仿宋"/>
                <w:sz w:val="21"/>
                <w:szCs w:val="21"/>
              </w:rPr>
            </w:pPr>
            <w:r>
              <w:rPr>
                <w:rFonts w:hint="eastAsia" w:ascii="仿宋" w:hAnsi="仿宋" w:eastAsia="仿宋" w:cs="仿宋"/>
                <w:sz w:val="21"/>
                <w:szCs w:val="21"/>
              </w:rPr>
              <w:t>合计</w:t>
            </w:r>
          </w:p>
        </w:tc>
        <w:tc>
          <w:tcPr>
            <w:tcW w:w="1905" w:type="dxa"/>
            <w:vAlign w:val="center"/>
          </w:tcPr>
          <w:p>
            <w:pPr>
              <w:spacing w:before="156" w:beforeLines="50"/>
              <w:jc w:val="center"/>
              <w:rPr>
                <w:rFonts w:ascii="仿宋" w:hAnsi="仿宋" w:eastAsia="仿宋" w:cs="仿宋"/>
                <w:sz w:val="21"/>
                <w:szCs w:val="21"/>
              </w:rPr>
            </w:pPr>
            <w:r>
              <w:rPr>
                <w:rFonts w:ascii="仿宋" w:hAnsi="仿宋" w:eastAsia="仿宋" w:cs="仿宋"/>
                <w:sz w:val="21"/>
                <w:szCs w:val="21"/>
              </w:rPr>
              <w:t>1286</w:t>
            </w:r>
            <w:r>
              <w:rPr>
                <w:rFonts w:hint="eastAsia" w:ascii="仿宋" w:hAnsi="仿宋" w:eastAsia="仿宋" w:cs="仿宋"/>
                <w:sz w:val="21"/>
                <w:szCs w:val="21"/>
              </w:rPr>
              <w:t>.</w:t>
            </w:r>
            <w:r>
              <w:rPr>
                <w:rFonts w:ascii="仿宋" w:hAnsi="仿宋" w:eastAsia="仿宋" w:cs="仿宋"/>
                <w:sz w:val="21"/>
                <w:szCs w:val="21"/>
              </w:rPr>
              <w:t>04</w:t>
            </w:r>
          </w:p>
        </w:tc>
        <w:tc>
          <w:tcPr>
            <w:tcW w:w="1950" w:type="dxa"/>
            <w:vAlign w:val="center"/>
          </w:tcPr>
          <w:p>
            <w:pPr>
              <w:spacing w:before="156" w:beforeLines="50"/>
              <w:jc w:val="center"/>
              <w:rPr>
                <w:rFonts w:ascii="仿宋" w:hAnsi="仿宋" w:eastAsia="仿宋" w:cs="仿宋"/>
                <w:sz w:val="21"/>
                <w:szCs w:val="21"/>
                <w:lang w:bidi="en-US"/>
              </w:rPr>
            </w:pPr>
            <w:r>
              <w:rPr>
                <w:rFonts w:ascii="仿宋" w:hAnsi="仿宋" w:eastAsia="仿宋" w:cs="仿宋"/>
                <w:sz w:val="21"/>
                <w:szCs w:val="21"/>
                <w:lang w:bidi="en-US"/>
              </w:rPr>
              <w:t>1524</w:t>
            </w:r>
            <w:r>
              <w:rPr>
                <w:rFonts w:hint="eastAsia" w:ascii="仿宋" w:hAnsi="仿宋" w:eastAsia="仿宋" w:cs="仿宋"/>
                <w:sz w:val="21"/>
                <w:szCs w:val="21"/>
                <w:lang w:bidi="en-US"/>
              </w:rPr>
              <w:t>.</w:t>
            </w:r>
            <w:r>
              <w:rPr>
                <w:rFonts w:ascii="仿宋" w:hAnsi="仿宋" w:eastAsia="仿宋" w:cs="仿宋"/>
                <w:sz w:val="21"/>
                <w:szCs w:val="21"/>
                <w:lang w:bidi="en-US"/>
              </w:rPr>
              <w:t>55</w:t>
            </w:r>
          </w:p>
        </w:tc>
        <w:tc>
          <w:tcPr>
            <w:tcW w:w="1463" w:type="dxa"/>
            <w:vAlign w:val="center"/>
          </w:tcPr>
          <w:p>
            <w:pPr>
              <w:spacing w:before="156" w:beforeLines="50"/>
              <w:jc w:val="center"/>
              <w:rPr>
                <w:rFonts w:ascii="仿宋" w:hAnsi="仿宋" w:eastAsia="仿宋" w:cs="仿宋"/>
                <w:sz w:val="21"/>
                <w:szCs w:val="21"/>
                <w:lang w:bidi="en-US"/>
              </w:rPr>
            </w:pPr>
          </w:p>
        </w:tc>
      </w:tr>
    </w:tbl>
    <w:p>
      <w:pPr>
        <w:adjustRightInd w:val="0"/>
        <w:snapToGrid w:val="0"/>
        <w:spacing w:line="360" w:lineRule="auto"/>
        <w:ind w:left="6663"/>
        <w:jc w:val="right"/>
        <w:rPr>
          <w:rFonts w:ascii="仿宋" w:hAnsi="仿宋" w:eastAsia="仿宋" w:cs="仿宋"/>
          <w:sz w:val="24"/>
        </w:rPr>
      </w:pPr>
    </w:p>
    <w:p>
      <w:pPr>
        <w:spacing w:before="312" w:beforeLines="100" w:line="480" w:lineRule="exact"/>
        <w:ind w:firstLine="560" w:firstLineChars="200"/>
        <w:contextualSpacing/>
        <w:rPr>
          <w:rFonts w:ascii="仿宋" w:hAnsi="仿宋" w:eastAsia="仿宋" w:cs="仿宋"/>
          <w:sz w:val="28"/>
        </w:rPr>
      </w:pPr>
      <w:r>
        <w:rPr>
          <w:rFonts w:hint="eastAsia" w:ascii="仿宋" w:hAnsi="仿宋" w:eastAsia="仿宋" w:cs="仿宋"/>
          <w:sz w:val="28"/>
        </w:rPr>
        <w:t>2.评估结果增减值原因分析</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kern w:val="0"/>
          <w:sz w:val="28"/>
        </w:rPr>
        <w:t>上述非流动资产类资产的评估净值增值的主要原因是</w:t>
      </w:r>
      <w:r>
        <w:rPr>
          <w:rFonts w:hint="eastAsia" w:ascii="仿宋" w:hAnsi="仿宋" w:eastAsia="仿宋" w:cs="仿宋"/>
          <w:sz w:val="28"/>
          <w:szCs w:val="28"/>
        </w:rPr>
        <w:t>因为土地资源的稀缺性，再加基础配套设施的日益完善，城市规划布局的调整，导致地价上涨。</w:t>
      </w:r>
      <w:bookmarkStart w:id="83" w:name="_Toc420313840"/>
      <w:bookmarkStart w:id="84" w:name="_Toc171966019"/>
    </w:p>
    <w:bookmarkEnd w:id="66"/>
    <w:bookmarkEnd w:id="67"/>
    <w:bookmarkEnd w:id="68"/>
    <w:bookmarkEnd w:id="69"/>
    <w:bookmarkEnd w:id="83"/>
    <w:bookmarkEnd w:id="84"/>
    <w:p>
      <w:pPr>
        <w:pStyle w:val="343"/>
        <w:adjustRightInd/>
        <w:spacing w:before="156" w:beforeLines="50" w:after="156" w:afterLines="50" w:line="480" w:lineRule="exact"/>
        <w:ind w:left="0" w:firstLine="0"/>
        <w:contextualSpacing/>
        <w:jc w:val="left"/>
        <w:rPr>
          <w:rFonts w:ascii="仿宋" w:hAnsi="仿宋" w:eastAsia="仿宋" w:cs="仿宋"/>
        </w:rPr>
      </w:pPr>
      <w:bookmarkStart w:id="85" w:name="_Toc51388337"/>
      <w:bookmarkStart w:id="86" w:name="_Toc66977047"/>
      <w:bookmarkStart w:id="87" w:name="_Toc427311258"/>
      <w:bookmarkStart w:id="88" w:name="_Toc138403987"/>
      <w:bookmarkStart w:id="89" w:name="_Toc459197188"/>
      <w:bookmarkStart w:id="90" w:name="_Toc445108021"/>
      <w:bookmarkStart w:id="91" w:name="_Toc212525640"/>
      <w:bookmarkStart w:id="92" w:name="_Toc69916977"/>
      <w:bookmarkStart w:id="93" w:name="_Toc485741049"/>
      <w:bookmarkStart w:id="94" w:name="_Toc226282247"/>
      <w:bookmarkStart w:id="95" w:name="_Toc2940"/>
      <w:bookmarkStart w:id="96" w:name="_Toc451863923"/>
      <w:r>
        <w:rPr>
          <w:rFonts w:hint="eastAsia" w:ascii="仿宋" w:hAnsi="仿宋" w:eastAsia="仿宋" w:cs="仿宋"/>
        </w:rPr>
        <w:t>二、负债评估技术说明</w:t>
      </w:r>
      <w:bookmarkEnd w:id="85"/>
      <w:bookmarkEnd w:id="86"/>
      <w:bookmarkEnd w:id="87"/>
      <w:bookmarkEnd w:id="88"/>
      <w:bookmarkEnd w:id="89"/>
      <w:bookmarkEnd w:id="90"/>
      <w:bookmarkEnd w:id="91"/>
      <w:bookmarkEnd w:id="92"/>
      <w:bookmarkEnd w:id="93"/>
      <w:bookmarkEnd w:id="94"/>
      <w:bookmarkEnd w:id="95"/>
      <w:bookmarkEnd w:id="96"/>
    </w:p>
    <w:p>
      <w:pPr>
        <w:pStyle w:val="3"/>
        <w:adjustRightInd/>
        <w:spacing w:before="0" w:after="0" w:line="480" w:lineRule="exact"/>
        <w:ind w:left="0" w:firstLine="560" w:firstLineChars="200"/>
        <w:contextualSpacing/>
        <w:rPr>
          <w:rFonts w:ascii="仿宋" w:hAnsi="仿宋" w:eastAsia="仿宋" w:cs="仿宋"/>
          <w:sz w:val="28"/>
          <w:szCs w:val="28"/>
        </w:rPr>
      </w:pPr>
      <w:bookmarkStart w:id="97" w:name="_Toc22862"/>
      <w:r>
        <w:rPr>
          <w:rFonts w:hint="eastAsia" w:ascii="仿宋" w:hAnsi="仿宋" w:eastAsia="仿宋" w:cs="仿宋"/>
          <w:sz w:val="28"/>
          <w:szCs w:val="28"/>
        </w:rPr>
        <w:t>（一）评估范围</w:t>
      </w:r>
      <w:bookmarkEnd w:id="97"/>
    </w:p>
    <w:p>
      <w:pPr>
        <w:pStyle w:val="48"/>
        <w:spacing w:before="0" w:beforeAutospacing="0" w:after="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评估范围为江苏焦点粮食储运有限公司申报的负债为流动负债，主要为应交税费。负债评估基准日账面值如下：</w:t>
      </w:r>
    </w:p>
    <w:p>
      <w:pPr>
        <w:pStyle w:val="48"/>
        <w:snapToGrid w:val="0"/>
        <w:spacing w:before="0" w:beforeAutospacing="0" w:line="480" w:lineRule="exact"/>
        <w:ind w:firstLine="480" w:firstLineChars="200"/>
        <w:jc w:val="right"/>
        <w:rPr>
          <w:rFonts w:ascii="仿宋" w:hAnsi="仿宋" w:eastAsia="仿宋" w:cs="仿宋"/>
          <w:color w:val="auto"/>
        </w:rPr>
      </w:pPr>
      <w:r>
        <w:rPr>
          <w:rFonts w:hint="eastAsia" w:ascii="仿宋" w:hAnsi="仿宋" w:eastAsia="仿宋" w:cs="仿宋"/>
          <w:color w:val="auto"/>
        </w:rPr>
        <w:t>金额单位：人民币元</w:t>
      </w:r>
    </w:p>
    <w:tbl>
      <w:tblPr>
        <w:tblStyle w:val="55"/>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2097"/>
        <w:gridCol w:w="268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2097"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2685"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账面金额（元）</w:t>
            </w:r>
          </w:p>
        </w:tc>
        <w:tc>
          <w:tcPr>
            <w:tcW w:w="2978" w:type="dxa"/>
          </w:tcPr>
          <w:p>
            <w:pPr>
              <w:spacing w:before="156" w:beforeLines="50"/>
              <w:jc w:val="center"/>
              <w:rPr>
                <w:rFonts w:ascii="仿宋" w:hAnsi="仿宋" w:eastAsia="仿宋" w:cs="仿宋"/>
                <w:b/>
                <w:bCs/>
                <w:sz w:val="21"/>
                <w:szCs w:val="21"/>
                <w:lang w:bidi="en-US"/>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dxa"/>
          </w:tcPr>
          <w:p>
            <w:pPr>
              <w:spacing w:before="156" w:beforeLines="50"/>
              <w:jc w:val="center"/>
              <w:rPr>
                <w:rFonts w:ascii="仿宋" w:hAnsi="仿宋" w:eastAsia="仿宋" w:cs="仿宋"/>
                <w:sz w:val="21"/>
                <w:szCs w:val="21"/>
              </w:rPr>
            </w:pPr>
            <w:r>
              <w:rPr>
                <w:rFonts w:hint="eastAsia" w:ascii="仿宋" w:hAnsi="仿宋" w:eastAsia="仿宋" w:cs="仿宋"/>
                <w:b/>
                <w:bCs/>
                <w:sz w:val="21"/>
                <w:szCs w:val="21"/>
              </w:rPr>
              <w:t>1</w:t>
            </w:r>
          </w:p>
        </w:tc>
        <w:tc>
          <w:tcPr>
            <w:tcW w:w="2097" w:type="dxa"/>
          </w:tcPr>
          <w:p>
            <w:pPr>
              <w:spacing w:before="156" w:beforeLines="50"/>
              <w:jc w:val="center"/>
              <w:rPr>
                <w:rFonts w:ascii="仿宋" w:hAnsi="仿宋" w:eastAsia="仿宋" w:cs="仿宋"/>
                <w:sz w:val="21"/>
                <w:szCs w:val="21"/>
              </w:rPr>
            </w:pPr>
            <w:r>
              <w:rPr>
                <w:rFonts w:hint="eastAsia" w:ascii="仿宋" w:hAnsi="仿宋" w:eastAsia="仿宋" w:cs="仿宋"/>
                <w:b/>
                <w:bCs/>
                <w:sz w:val="21"/>
                <w:szCs w:val="21"/>
              </w:rPr>
              <w:t>城镇土地使用税</w:t>
            </w:r>
          </w:p>
        </w:tc>
        <w:tc>
          <w:tcPr>
            <w:tcW w:w="2685"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14,490.23</w:t>
            </w:r>
          </w:p>
        </w:tc>
        <w:tc>
          <w:tcPr>
            <w:tcW w:w="2978" w:type="dxa"/>
          </w:tcPr>
          <w:p>
            <w:pPr>
              <w:spacing w:before="156" w:beforeLines="50"/>
              <w:jc w:val="center"/>
              <w:rPr>
                <w:rFonts w:ascii="仿宋" w:hAnsi="仿宋" w:eastAsia="仿宋" w:cs="仿宋"/>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gridSpan w:val="2"/>
          </w:tcPr>
          <w:p>
            <w:pPr>
              <w:spacing w:before="156" w:beforeLines="50"/>
              <w:jc w:val="center"/>
              <w:rPr>
                <w:rFonts w:ascii="仿宋" w:hAnsi="仿宋" w:eastAsia="仿宋" w:cs="仿宋"/>
                <w:sz w:val="21"/>
                <w:szCs w:val="21"/>
              </w:rPr>
            </w:pPr>
            <w:r>
              <w:rPr>
                <w:rFonts w:hint="eastAsia" w:ascii="仿宋" w:hAnsi="仿宋" w:eastAsia="仿宋" w:cs="仿宋"/>
                <w:sz w:val="21"/>
                <w:szCs w:val="21"/>
              </w:rPr>
              <w:t>合计</w:t>
            </w:r>
          </w:p>
        </w:tc>
        <w:tc>
          <w:tcPr>
            <w:tcW w:w="2685" w:type="dxa"/>
          </w:tcPr>
          <w:p>
            <w:pPr>
              <w:spacing w:before="156" w:beforeLines="50"/>
              <w:jc w:val="center"/>
              <w:rPr>
                <w:rFonts w:ascii="仿宋" w:hAnsi="仿宋" w:eastAsia="仿宋" w:cs="仿宋"/>
                <w:sz w:val="21"/>
                <w:szCs w:val="21"/>
                <w:lang w:bidi="en-US"/>
              </w:rPr>
            </w:pPr>
            <w:r>
              <w:rPr>
                <w:rFonts w:hint="eastAsia" w:ascii="仿宋" w:hAnsi="仿宋" w:eastAsia="仿宋" w:cs="仿宋"/>
                <w:sz w:val="21"/>
                <w:szCs w:val="21"/>
              </w:rPr>
              <w:t>14,490.23</w:t>
            </w:r>
          </w:p>
        </w:tc>
        <w:tc>
          <w:tcPr>
            <w:tcW w:w="2978" w:type="dxa"/>
          </w:tcPr>
          <w:p>
            <w:pPr>
              <w:spacing w:before="156" w:beforeLines="50"/>
              <w:jc w:val="center"/>
              <w:rPr>
                <w:rFonts w:ascii="仿宋" w:hAnsi="仿宋" w:eastAsia="仿宋" w:cs="仿宋"/>
                <w:sz w:val="21"/>
                <w:szCs w:val="21"/>
                <w:lang w:bidi="en-US"/>
              </w:rPr>
            </w:pPr>
          </w:p>
        </w:tc>
      </w:tr>
    </w:tbl>
    <w:p>
      <w:pPr>
        <w:pStyle w:val="3"/>
        <w:adjustRightInd/>
        <w:spacing w:before="0" w:after="0" w:line="480" w:lineRule="exact"/>
        <w:ind w:left="0" w:firstLine="560" w:firstLineChars="200"/>
        <w:contextualSpacing/>
        <w:rPr>
          <w:rFonts w:ascii="仿宋" w:hAnsi="仿宋" w:eastAsia="仿宋" w:cs="仿宋"/>
          <w:sz w:val="28"/>
          <w:szCs w:val="28"/>
        </w:rPr>
      </w:pPr>
      <w:bookmarkStart w:id="98" w:name="_Toc15474"/>
      <w:bookmarkStart w:id="99" w:name="_Toc468392850"/>
      <w:r>
        <w:rPr>
          <w:rFonts w:hint="eastAsia" w:ascii="仿宋" w:hAnsi="仿宋" w:eastAsia="仿宋" w:cs="仿宋"/>
          <w:sz w:val="28"/>
          <w:szCs w:val="28"/>
        </w:rPr>
        <w:t>（二）评估过程</w:t>
      </w:r>
      <w:bookmarkEnd w:id="98"/>
      <w:bookmarkEnd w:id="99"/>
    </w:p>
    <w:p>
      <w:pPr>
        <w:pStyle w:val="48"/>
        <w:spacing w:before="0" w:beforeAutospacing="0" w:after="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评估过程主要划分为以下三个阶段：</w:t>
      </w:r>
    </w:p>
    <w:p>
      <w:pPr>
        <w:pStyle w:val="48"/>
        <w:spacing w:before="0" w:beforeAutospacing="0" w:after="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1.第一阶段：准备阶段</w:t>
      </w:r>
    </w:p>
    <w:p>
      <w:pPr>
        <w:pStyle w:val="48"/>
        <w:spacing w:before="0" w:beforeAutospacing="0" w:after="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对确定的评估范围内的负债的构成情况进行初步了解，提交评估准备资料清单和评估申报明细表标准格式，按照评估规范的要求，指导企业填写负债评估明细表；</w:t>
      </w:r>
    </w:p>
    <w:p>
      <w:pPr>
        <w:pStyle w:val="48"/>
        <w:spacing w:before="0" w:beforeAutospacing="0" w:after="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2.第二阶段：现场调查阶段</w:t>
      </w:r>
    </w:p>
    <w:p>
      <w:pPr>
        <w:pStyle w:val="48"/>
        <w:spacing w:before="0" w:beforeAutospacing="0" w:after="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(1)根据企业提供的负债评估申报资料，首先对财务台账和评估明细表进行互相核对使之相符。对内容不符、重复申报、遗漏未报项目进行改正，由企业重新填报。作到账表相符；</w:t>
      </w:r>
    </w:p>
    <w:p>
      <w:pPr>
        <w:pStyle w:val="48"/>
        <w:spacing w:before="0" w:beforeAutospacing="0" w:after="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(2)由企业财务部门的有关人员介绍各项负债的形成原因、计账原则等情况；</w:t>
      </w:r>
    </w:p>
    <w:p>
      <w:pPr>
        <w:pStyle w:val="48"/>
        <w:spacing w:before="0" w:beforeAutospacing="0" w:after="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(3)对负债原始凭据抽样核查，并对数额较大的债务款项进行了函证，确保债务情况属实。</w:t>
      </w:r>
    </w:p>
    <w:p>
      <w:pPr>
        <w:pStyle w:val="48"/>
        <w:spacing w:before="0" w:beforeAutospacing="0" w:after="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3.第三阶段：评定估算阶段</w:t>
      </w:r>
    </w:p>
    <w:p>
      <w:pPr>
        <w:pStyle w:val="48"/>
        <w:spacing w:before="0" w:beforeAutospacing="0" w:after="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(1)将核实调整后的负债评估明细表，录入计算机，建立相应数据库；</w:t>
      </w:r>
    </w:p>
    <w:p>
      <w:pPr>
        <w:pStyle w:val="48"/>
        <w:spacing w:before="0" w:beforeAutospacing="0" w:after="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(2)对各类负债，采用以核实的方法确定评估值，编制评估汇总表；</w:t>
      </w:r>
    </w:p>
    <w:p>
      <w:pPr>
        <w:pStyle w:val="48"/>
        <w:spacing w:before="0" w:beforeAutospacing="0" w:after="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(3)撰写负债评估技术说明。</w:t>
      </w:r>
    </w:p>
    <w:p>
      <w:pPr>
        <w:pStyle w:val="3"/>
        <w:adjustRightInd/>
        <w:spacing w:before="0" w:after="0" w:line="480" w:lineRule="exact"/>
        <w:ind w:left="0" w:firstLine="560" w:firstLineChars="200"/>
        <w:contextualSpacing/>
        <w:rPr>
          <w:rFonts w:ascii="仿宋" w:hAnsi="仿宋" w:eastAsia="仿宋" w:cs="仿宋"/>
          <w:sz w:val="28"/>
          <w:szCs w:val="28"/>
        </w:rPr>
      </w:pPr>
      <w:bookmarkStart w:id="100" w:name="_Toc9449"/>
      <w:bookmarkStart w:id="101" w:name="_Toc468392851"/>
      <w:r>
        <w:rPr>
          <w:rFonts w:hint="eastAsia" w:ascii="仿宋" w:hAnsi="仿宋" w:eastAsia="仿宋" w:cs="仿宋"/>
          <w:sz w:val="28"/>
          <w:szCs w:val="28"/>
        </w:rPr>
        <w:t>（三）评估方法</w:t>
      </w:r>
      <w:bookmarkEnd w:id="100"/>
      <w:bookmarkEnd w:id="101"/>
    </w:p>
    <w:p>
      <w:pPr>
        <w:pStyle w:val="48"/>
        <w:spacing w:beforeAutospacing="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应付税费评估基准日账面值14,490.23元，是2020年第一季度的土地使用税。</w:t>
      </w:r>
    </w:p>
    <w:p>
      <w:pPr>
        <w:pStyle w:val="48"/>
        <w:spacing w:before="0" w:beforeAutospacing="0" w:after="0" w:afterAutospacing="0" w:line="48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通过查阅部分资料、会计账目和会计凭证，评估人员了解、分析了负债的形成原因、账龄、是否确需支付等情况，列入评估范围的应付税费是企业应实际债务，以核实无误账面值14,490.23元确定评估值。</w:t>
      </w:r>
    </w:p>
    <w:p>
      <w:pPr>
        <w:pStyle w:val="3"/>
        <w:adjustRightInd/>
        <w:spacing w:before="0" w:after="0" w:line="480" w:lineRule="exact"/>
        <w:ind w:left="0" w:firstLine="560" w:firstLineChars="200"/>
        <w:contextualSpacing/>
        <w:rPr>
          <w:rFonts w:ascii="仿宋" w:hAnsi="仿宋" w:eastAsia="仿宋" w:cs="仿宋"/>
          <w:sz w:val="28"/>
          <w:szCs w:val="28"/>
        </w:rPr>
      </w:pPr>
      <w:bookmarkStart w:id="102" w:name="_Toc3793"/>
      <w:r>
        <w:rPr>
          <w:rFonts w:hint="eastAsia" w:ascii="仿宋" w:hAnsi="仿宋" w:eastAsia="仿宋" w:cs="仿宋"/>
          <w:sz w:val="28"/>
          <w:szCs w:val="28"/>
        </w:rPr>
        <w:t>（四）评估结论</w:t>
      </w:r>
      <w:bookmarkEnd w:id="102"/>
    </w:p>
    <w:p>
      <w:pPr>
        <w:pStyle w:val="48"/>
        <w:snapToGrid w:val="0"/>
        <w:spacing w:before="0" w:beforeAutospacing="0" w:after="0" w:afterAutospacing="0" w:line="480" w:lineRule="exact"/>
        <w:ind w:firstLine="560" w:firstLineChars="200"/>
        <w:jc w:val="center"/>
        <w:rPr>
          <w:rFonts w:ascii="仿宋" w:hAnsi="仿宋" w:eastAsia="仿宋" w:cs="仿宋"/>
          <w:color w:val="auto"/>
          <w:sz w:val="28"/>
          <w:szCs w:val="20"/>
        </w:rPr>
      </w:pPr>
      <w:r>
        <w:rPr>
          <w:rFonts w:hint="eastAsia" w:ascii="仿宋" w:hAnsi="仿宋" w:eastAsia="仿宋" w:cs="仿宋"/>
          <w:color w:val="auto"/>
          <w:sz w:val="28"/>
          <w:szCs w:val="20"/>
        </w:rPr>
        <w:t>负债评估结果汇总表：</w:t>
      </w:r>
    </w:p>
    <w:p>
      <w:pPr>
        <w:spacing w:line="480" w:lineRule="exact"/>
        <w:jc w:val="right"/>
        <w:rPr>
          <w:rFonts w:ascii="仿宋" w:hAnsi="仿宋" w:eastAsia="仿宋" w:cs="仿宋"/>
          <w:kern w:val="0"/>
          <w:sz w:val="24"/>
        </w:rPr>
      </w:pPr>
      <w:r>
        <w:rPr>
          <w:rFonts w:hint="eastAsia" w:ascii="仿宋" w:hAnsi="仿宋" w:eastAsia="仿宋" w:cs="仿宋"/>
          <w:sz w:val="24"/>
        </w:rPr>
        <w:t xml:space="preserve">                                        </w:t>
      </w:r>
      <w:r>
        <w:rPr>
          <w:rFonts w:hint="eastAsia" w:ascii="仿宋" w:hAnsi="仿宋" w:eastAsia="仿宋" w:cs="仿宋"/>
          <w:kern w:val="0"/>
          <w:sz w:val="24"/>
        </w:rPr>
        <w:t xml:space="preserve"> 金额单位：人民币</w:t>
      </w:r>
      <w:r>
        <w:rPr>
          <w:rFonts w:hint="eastAsia" w:ascii="仿宋" w:hAnsi="仿宋" w:eastAsia="仿宋" w:cs="仿宋"/>
          <w:kern w:val="0"/>
          <w:sz w:val="24"/>
          <w:lang w:eastAsia="zh-CN"/>
        </w:rPr>
        <w:t>万</w:t>
      </w:r>
      <w:r>
        <w:rPr>
          <w:rFonts w:hint="eastAsia" w:ascii="仿宋" w:hAnsi="仿宋" w:eastAsia="仿宋" w:cs="仿宋"/>
          <w:kern w:val="0"/>
          <w:sz w:val="24"/>
        </w:rPr>
        <w:t>元</w:t>
      </w:r>
    </w:p>
    <w:tbl>
      <w:tblPr>
        <w:tblStyle w:val="55"/>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220"/>
        <w:gridCol w:w="1976"/>
        <w:gridCol w:w="1909"/>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2220"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1976" w:type="dxa"/>
          </w:tcPr>
          <w:p>
            <w:pPr>
              <w:spacing w:before="156" w:beforeLines="50"/>
              <w:jc w:val="center"/>
              <w:rPr>
                <w:rFonts w:ascii="仿宋" w:hAnsi="仿宋" w:eastAsia="仿宋" w:cs="仿宋"/>
                <w:b/>
                <w:bCs/>
                <w:sz w:val="21"/>
                <w:szCs w:val="21"/>
              </w:rPr>
            </w:pPr>
            <w:r>
              <w:rPr>
                <w:rFonts w:hint="eastAsia" w:ascii="仿宋" w:hAnsi="仿宋" w:eastAsia="仿宋" w:cs="仿宋"/>
                <w:b/>
                <w:bCs/>
                <w:sz w:val="21"/>
                <w:szCs w:val="21"/>
              </w:rPr>
              <w:t>账面金额（万元）</w:t>
            </w:r>
          </w:p>
        </w:tc>
        <w:tc>
          <w:tcPr>
            <w:tcW w:w="1909" w:type="dxa"/>
          </w:tcPr>
          <w:p>
            <w:pPr>
              <w:spacing w:before="156" w:beforeLines="50"/>
              <w:jc w:val="center"/>
              <w:rPr>
                <w:rFonts w:ascii="仿宋" w:hAnsi="仿宋" w:eastAsia="仿宋" w:cs="仿宋"/>
                <w:b/>
                <w:bCs/>
                <w:sz w:val="21"/>
                <w:szCs w:val="21"/>
                <w:lang w:bidi="en-US"/>
              </w:rPr>
            </w:pPr>
            <w:r>
              <w:rPr>
                <w:rFonts w:hint="eastAsia" w:ascii="仿宋" w:hAnsi="仿宋" w:eastAsia="仿宋" w:cs="仿宋"/>
                <w:b/>
                <w:bCs/>
                <w:sz w:val="21"/>
                <w:szCs w:val="21"/>
              </w:rPr>
              <w:t>评估值（万元）</w:t>
            </w:r>
          </w:p>
        </w:tc>
        <w:tc>
          <w:tcPr>
            <w:tcW w:w="2160" w:type="dxa"/>
          </w:tcPr>
          <w:p>
            <w:pPr>
              <w:spacing w:before="156" w:beforeLines="50"/>
              <w:jc w:val="center"/>
              <w:rPr>
                <w:rFonts w:ascii="仿宋" w:hAnsi="仿宋" w:eastAsia="仿宋" w:cs="仿宋"/>
                <w:b/>
                <w:bCs/>
                <w:sz w:val="21"/>
                <w:szCs w:val="21"/>
                <w:lang w:bidi="en-US"/>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spacing w:before="156" w:beforeLines="50"/>
              <w:jc w:val="center"/>
              <w:rPr>
                <w:rFonts w:ascii="仿宋" w:hAnsi="仿宋" w:eastAsia="仿宋" w:cs="仿宋"/>
                <w:sz w:val="21"/>
                <w:szCs w:val="21"/>
              </w:rPr>
            </w:pPr>
            <w:r>
              <w:rPr>
                <w:rFonts w:hint="eastAsia" w:ascii="仿宋" w:hAnsi="仿宋" w:eastAsia="仿宋" w:cs="仿宋"/>
                <w:b/>
                <w:bCs/>
                <w:sz w:val="21"/>
                <w:szCs w:val="21"/>
              </w:rPr>
              <w:t>1</w:t>
            </w:r>
          </w:p>
        </w:tc>
        <w:tc>
          <w:tcPr>
            <w:tcW w:w="2220" w:type="dxa"/>
          </w:tcPr>
          <w:p>
            <w:pPr>
              <w:spacing w:before="156" w:beforeLines="50"/>
              <w:jc w:val="center"/>
              <w:rPr>
                <w:rFonts w:ascii="仿宋" w:hAnsi="仿宋" w:eastAsia="仿宋" w:cs="仿宋"/>
                <w:sz w:val="21"/>
                <w:szCs w:val="21"/>
              </w:rPr>
            </w:pPr>
            <w:r>
              <w:rPr>
                <w:rFonts w:hint="eastAsia" w:ascii="仿宋" w:hAnsi="仿宋" w:eastAsia="仿宋" w:cs="仿宋"/>
                <w:b/>
                <w:bCs/>
                <w:sz w:val="21"/>
                <w:szCs w:val="21"/>
              </w:rPr>
              <w:t>城镇土地使用税</w:t>
            </w:r>
          </w:p>
        </w:tc>
        <w:tc>
          <w:tcPr>
            <w:tcW w:w="1976"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1.45</w:t>
            </w:r>
          </w:p>
        </w:tc>
        <w:tc>
          <w:tcPr>
            <w:tcW w:w="1909" w:type="dxa"/>
          </w:tcPr>
          <w:p>
            <w:pPr>
              <w:spacing w:before="156" w:beforeLines="50"/>
              <w:jc w:val="center"/>
              <w:rPr>
                <w:rFonts w:ascii="仿宋" w:hAnsi="仿宋" w:eastAsia="仿宋" w:cs="仿宋"/>
                <w:sz w:val="21"/>
                <w:szCs w:val="21"/>
              </w:rPr>
            </w:pPr>
            <w:r>
              <w:rPr>
                <w:rFonts w:hint="eastAsia" w:ascii="仿宋" w:hAnsi="仿宋" w:eastAsia="仿宋" w:cs="仿宋"/>
                <w:sz w:val="21"/>
                <w:szCs w:val="21"/>
              </w:rPr>
              <w:t>1.45</w:t>
            </w:r>
          </w:p>
        </w:tc>
        <w:tc>
          <w:tcPr>
            <w:tcW w:w="2160" w:type="dxa"/>
          </w:tcPr>
          <w:p>
            <w:pPr>
              <w:spacing w:before="156" w:beforeLines="50"/>
              <w:jc w:val="center"/>
              <w:rPr>
                <w:rFonts w:ascii="仿宋" w:hAnsi="仿宋" w:eastAsia="仿宋" w:cs="仿宋"/>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5" w:type="dxa"/>
            <w:gridSpan w:val="2"/>
          </w:tcPr>
          <w:p>
            <w:pPr>
              <w:spacing w:before="156" w:beforeLines="50"/>
              <w:jc w:val="center"/>
              <w:rPr>
                <w:rFonts w:ascii="仿宋" w:hAnsi="仿宋" w:eastAsia="仿宋" w:cs="仿宋"/>
                <w:sz w:val="21"/>
                <w:szCs w:val="21"/>
              </w:rPr>
            </w:pPr>
            <w:r>
              <w:rPr>
                <w:rFonts w:hint="eastAsia" w:ascii="仿宋" w:hAnsi="仿宋" w:eastAsia="仿宋" w:cs="仿宋"/>
                <w:sz w:val="21"/>
                <w:szCs w:val="21"/>
              </w:rPr>
              <w:t>合计</w:t>
            </w:r>
          </w:p>
        </w:tc>
        <w:tc>
          <w:tcPr>
            <w:tcW w:w="1976" w:type="dxa"/>
          </w:tcPr>
          <w:p>
            <w:pPr>
              <w:spacing w:before="156" w:beforeLines="50"/>
              <w:jc w:val="center"/>
              <w:rPr>
                <w:rFonts w:ascii="仿宋" w:hAnsi="仿宋" w:eastAsia="仿宋" w:cs="仿宋"/>
                <w:sz w:val="21"/>
                <w:szCs w:val="21"/>
                <w:lang w:bidi="en-US"/>
              </w:rPr>
            </w:pPr>
            <w:r>
              <w:rPr>
                <w:rFonts w:hint="eastAsia" w:ascii="仿宋" w:hAnsi="仿宋" w:eastAsia="仿宋" w:cs="仿宋"/>
                <w:sz w:val="21"/>
                <w:szCs w:val="21"/>
                <w:lang w:bidi="en-US"/>
              </w:rPr>
              <w:t>1.45</w:t>
            </w:r>
          </w:p>
        </w:tc>
        <w:tc>
          <w:tcPr>
            <w:tcW w:w="1909" w:type="dxa"/>
          </w:tcPr>
          <w:p>
            <w:pPr>
              <w:spacing w:before="156" w:beforeLines="50"/>
              <w:jc w:val="center"/>
              <w:rPr>
                <w:rFonts w:ascii="仿宋" w:hAnsi="仿宋" w:eastAsia="仿宋" w:cs="仿宋"/>
                <w:sz w:val="21"/>
                <w:szCs w:val="21"/>
                <w:lang w:bidi="en-US"/>
              </w:rPr>
            </w:pPr>
            <w:r>
              <w:rPr>
                <w:rFonts w:hint="eastAsia" w:ascii="仿宋" w:hAnsi="仿宋" w:eastAsia="仿宋" w:cs="仿宋"/>
                <w:sz w:val="21"/>
                <w:szCs w:val="21"/>
                <w:lang w:bidi="en-US"/>
              </w:rPr>
              <w:t>1.45</w:t>
            </w:r>
          </w:p>
        </w:tc>
        <w:tc>
          <w:tcPr>
            <w:tcW w:w="2160" w:type="dxa"/>
          </w:tcPr>
          <w:p>
            <w:pPr>
              <w:spacing w:before="156" w:beforeLines="50"/>
              <w:jc w:val="center"/>
              <w:rPr>
                <w:rFonts w:ascii="仿宋" w:hAnsi="仿宋" w:eastAsia="仿宋" w:cs="仿宋"/>
                <w:sz w:val="21"/>
                <w:szCs w:val="21"/>
                <w:lang w:bidi="en-US"/>
              </w:rPr>
            </w:pPr>
          </w:p>
        </w:tc>
      </w:tr>
    </w:tbl>
    <w:p>
      <w:pPr>
        <w:pStyle w:val="343"/>
        <w:adjustRightInd/>
        <w:spacing w:before="156" w:beforeLines="50" w:after="156" w:afterLines="50" w:line="480" w:lineRule="exact"/>
        <w:ind w:left="0" w:firstLine="0"/>
        <w:contextualSpacing/>
        <w:jc w:val="left"/>
        <w:rPr>
          <w:rFonts w:ascii="仿宋" w:hAnsi="仿宋" w:eastAsia="仿宋" w:cs="仿宋"/>
        </w:rPr>
      </w:pPr>
      <w:r>
        <w:rPr>
          <w:rFonts w:hint="eastAsia" w:ascii="仿宋" w:hAnsi="仿宋" w:eastAsia="仿宋" w:cs="仿宋"/>
        </w:rPr>
        <w:t>四、股东权益评估技术说明</w:t>
      </w:r>
    </w:p>
    <w:p>
      <w:pPr>
        <w:pStyle w:val="343"/>
        <w:adjustRightInd/>
        <w:spacing w:before="0" w:after="0" w:line="480" w:lineRule="exact"/>
        <w:ind w:left="0" w:firstLine="560" w:firstLineChars="200"/>
        <w:contextualSpacing/>
        <w:jc w:val="left"/>
        <w:rPr>
          <w:rFonts w:ascii="仿宋" w:hAnsi="仿宋" w:eastAsia="仿宋" w:cs="仿宋"/>
        </w:rPr>
      </w:pPr>
      <w:r>
        <w:rPr>
          <w:rFonts w:hint="eastAsia" w:ascii="仿宋" w:hAnsi="仿宋" w:eastAsia="仿宋" w:cs="仿宋"/>
        </w:rPr>
        <w:t>股东权益=全部资产估值-负债估值</w:t>
      </w:r>
    </w:p>
    <w:p>
      <w:pPr>
        <w:pStyle w:val="343"/>
        <w:adjustRightInd/>
        <w:spacing w:before="0" w:after="0" w:line="480" w:lineRule="exact"/>
        <w:ind w:left="0" w:firstLine="560" w:firstLineChars="200"/>
        <w:contextualSpacing/>
        <w:jc w:val="left"/>
        <w:rPr>
          <w:rFonts w:ascii="仿宋" w:hAnsi="仿宋" w:eastAsia="仿宋" w:cs="仿宋"/>
          <w:b w:val="0"/>
          <w:bCs w:val="0"/>
        </w:rPr>
      </w:pPr>
      <w:r>
        <w:rPr>
          <w:rFonts w:hint="eastAsia" w:ascii="仿宋" w:hAnsi="仿宋" w:eastAsia="仿宋" w:cs="仿宋"/>
          <w:b w:val="0"/>
          <w:bCs w:val="0"/>
        </w:rPr>
        <w:t xml:space="preserve">        =</w:t>
      </w:r>
      <w:r>
        <w:rPr>
          <w:rFonts w:ascii="仿宋" w:hAnsi="仿宋" w:eastAsia="仿宋" w:cs="仿宋"/>
          <w:b w:val="0"/>
          <w:bCs w:val="0"/>
        </w:rPr>
        <w:t>1524</w:t>
      </w:r>
      <w:r>
        <w:rPr>
          <w:rFonts w:hint="eastAsia" w:ascii="仿宋" w:hAnsi="仿宋" w:eastAsia="仿宋" w:cs="仿宋"/>
          <w:b w:val="0"/>
          <w:bCs w:val="0"/>
        </w:rPr>
        <w:t>.</w:t>
      </w:r>
      <w:r>
        <w:rPr>
          <w:rFonts w:ascii="仿宋" w:hAnsi="仿宋" w:eastAsia="仿宋" w:cs="仿宋"/>
          <w:b w:val="0"/>
          <w:bCs w:val="0"/>
        </w:rPr>
        <w:t>55</w:t>
      </w:r>
      <w:r>
        <w:rPr>
          <w:rFonts w:hint="eastAsia" w:ascii="仿宋" w:hAnsi="仿宋" w:eastAsia="仿宋" w:cs="仿宋"/>
          <w:b w:val="0"/>
          <w:bCs w:val="0"/>
        </w:rPr>
        <w:t>万元-1.45万元</w:t>
      </w:r>
    </w:p>
    <w:p>
      <w:pPr>
        <w:pStyle w:val="343"/>
        <w:adjustRightInd/>
        <w:spacing w:before="0" w:after="0" w:line="480" w:lineRule="exact"/>
        <w:ind w:left="0" w:firstLine="560" w:firstLineChars="200"/>
        <w:contextualSpacing/>
        <w:jc w:val="left"/>
        <w:rPr>
          <w:rFonts w:ascii="仿宋" w:hAnsi="仿宋" w:eastAsia="仿宋" w:cs="仿宋"/>
          <w:b w:val="0"/>
          <w:bCs w:val="0"/>
        </w:rPr>
      </w:pPr>
      <w:r>
        <w:rPr>
          <w:rFonts w:hint="eastAsia" w:ascii="仿宋" w:hAnsi="仿宋" w:eastAsia="仿宋" w:cs="仿宋"/>
          <w:b w:val="0"/>
          <w:bCs w:val="0"/>
        </w:rPr>
        <w:t xml:space="preserve">        =</w:t>
      </w:r>
      <w:r>
        <w:rPr>
          <w:rFonts w:ascii="仿宋" w:hAnsi="仿宋" w:eastAsia="仿宋" w:cs="仿宋"/>
          <w:b w:val="0"/>
          <w:bCs w:val="0"/>
        </w:rPr>
        <w:t>1523</w:t>
      </w:r>
      <w:r>
        <w:rPr>
          <w:rFonts w:hint="eastAsia" w:ascii="仿宋" w:hAnsi="仿宋" w:eastAsia="仿宋" w:cs="仿宋"/>
          <w:b w:val="0"/>
          <w:bCs w:val="0"/>
        </w:rPr>
        <w:t>.</w:t>
      </w:r>
      <w:r>
        <w:rPr>
          <w:rFonts w:ascii="仿宋" w:hAnsi="仿宋" w:eastAsia="仿宋" w:cs="仿宋"/>
          <w:b w:val="0"/>
          <w:bCs w:val="0"/>
        </w:rPr>
        <w:t>10</w:t>
      </w:r>
      <w:r>
        <w:rPr>
          <w:rFonts w:hint="eastAsia" w:ascii="仿宋" w:hAnsi="仿宋" w:eastAsia="仿宋" w:cs="仿宋"/>
          <w:b w:val="0"/>
          <w:bCs w:val="0"/>
        </w:rPr>
        <w:t>万元</w:t>
      </w:r>
    </w:p>
    <w:p>
      <w:pPr>
        <w:pStyle w:val="2"/>
        <w:pageBreakBefore/>
        <w:numPr>
          <w:ilvl w:val="0"/>
          <w:numId w:val="5"/>
        </w:numPr>
        <w:tabs>
          <w:tab w:val="left" w:pos="1701"/>
        </w:tabs>
        <w:spacing w:before="312" w:beforeLines="100" w:after="312" w:afterLines="100" w:line="360" w:lineRule="auto"/>
        <w:ind w:left="0" w:firstLine="0"/>
        <w:jc w:val="center"/>
        <w:rPr>
          <w:rFonts w:ascii="仿宋" w:hAnsi="仿宋" w:eastAsia="仿宋" w:cs="仿宋"/>
          <w:bCs/>
          <w:szCs w:val="32"/>
        </w:rPr>
      </w:pPr>
      <w:bookmarkStart w:id="103" w:name="_Toc171966023"/>
      <w:bookmarkStart w:id="104" w:name="_Toc420313843"/>
      <w:bookmarkStart w:id="105" w:name="_Toc7269"/>
      <w:bookmarkStart w:id="106" w:name="_Toc485741050"/>
      <w:r>
        <w:rPr>
          <w:rFonts w:hint="eastAsia" w:ascii="仿宋" w:hAnsi="仿宋" w:eastAsia="仿宋" w:cs="仿宋"/>
          <w:bCs/>
          <w:szCs w:val="32"/>
        </w:rPr>
        <w:t>收益法评估技术说明</w:t>
      </w:r>
      <w:bookmarkEnd w:id="103"/>
      <w:bookmarkEnd w:id="104"/>
      <w:bookmarkEnd w:id="105"/>
      <w:bookmarkEnd w:id="106"/>
    </w:p>
    <w:p>
      <w:pPr>
        <w:pStyle w:val="3"/>
        <w:numPr>
          <w:ilvl w:val="0"/>
          <w:numId w:val="9"/>
        </w:numPr>
        <w:adjustRightInd/>
        <w:spacing w:before="0" w:after="0" w:line="480" w:lineRule="exact"/>
        <w:ind w:left="0" w:firstLine="560" w:firstLineChars="200"/>
        <w:contextualSpacing/>
        <w:jc w:val="left"/>
        <w:rPr>
          <w:rFonts w:ascii="仿宋" w:hAnsi="仿宋" w:eastAsia="仿宋" w:cs="仿宋"/>
          <w:sz w:val="28"/>
          <w:szCs w:val="28"/>
        </w:rPr>
      </w:pPr>
      <w:bookmarkStart w:id="107" w:name="_Toc468392853"/>
      <w:bookmarkStart w:id="108" w:name="_Toc12848"/>
      <w:bookmarkStart w:id="109" w:name="_Toc485741051"/>
      <w:bookmarkStart w:id="110" w:name="_Toc166403501"/>
      <w:bookmarkStart w:id="111" w:name="_Toc171966024"/>
      <w:bookmarkStart w:id="112" w:name="_Toc167627448"/>
      <w:r>
        <w:rPr>
          <w:rFonts w:hint="eastAsia" w:ascii="仿宋" w:hAnsi="仿宋" w:eastAsia="仿宋" w:cs="仿宋"/>
          <w:sz w:val="28"/>
          <w:szCs w:val="28"/>
        </w:rPr>
        <w:t>收益法的概述及应用</w:t>
      </w:r>
      <w:bookmarkEnd w:id="107"/>
      <w:bookmarkEnd w:id="108"/>
      <w:bookmarkEnd w:id="109"/>
    </w:p>
    <w:p>
      <w:pPr>
        <w:pStyle w:val="4"/>
        <w:numPr>
          <w:ilvl w:val="0"/>
          <w:numId w:val="0"/>
        </w:numPr>
        <w:adjustRightInd/>
        <w:spacing w:before="0" w:after="0" w:line="480" w:lineRule="exact"/>
        <w:ind w:firstLine="560" w:firstLineChars="200"/>
        <w:contextualSpacing/>
        <w:rPr>
          <w:rFonts w:ascii="仿宋" w:hAnsi="仿宋" w:eastAsia="仿宋" w:cs="仿宋"/>
          <w:b w:val="0"/>
          <w:sz w:val="28"/>
          <w:szCs w:val="28"/>
        </w:rPr>
      </w:pPr>
      <w:bookmarkStart w:id="113" w:name="_Toc5095"/>
      <w:r>
        <w:rPr>
          <w:rFonts w:hint="eastAsia" w:ascii="仿宋" w:hAnsi="仿宋" w:eastAsia="仿宋" w:cs="仿宋"/>
          <w:b w:val="0"/>
          <w:sz w:val="28"/>
          <w:szCs w:val="28"/>
        </w:rPr>
        <w:t>（一）收益法概述</w:t>
      </w:r>
      <w:bookmarkEnd w:id="113"/>
    </w:p>
    <w:p>
      <w:pPr>
        <w:spacing w:line="480" w:lineRule="exact"/>
        <w:ind w:firstLine="560" w:firstLineChars="200"/>
        <w:contextualSpacing/>
        <w:rPr>
          <w:rFonts w:ascii="仿宋" w:hAnsi="仿宋" w:eastAsia="仿宋"/>
          <w:sz w:val="28"/>
          <w:szCs w:val="28"/>
        </w:rPr>
      </w:pPr>
      <w:r>
        <w:rPr>
          <w:rFonts w:hint="eastAsia" w:ascii="仿宋" w:hAnsi="仿宋" w:eastAsia="仿宋"/>
          <w:sz w:val="28"/>
          <w:szCs w:val="28"/>
        </w:rPr>
        <w:t>收益法是通过估算被评估企业在未来的预期收益，并采用适当的折现率折现成基准日的现值，求得被评估企业在基准日时点的企业营业性资产价值，然后再加上溢余资产价值、非经营性资产(负债)价值、长期股权投资价值等，减去付息债务得出全部股权价值。</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在采用收益法评估中，要求被评估企业价值内涵和运用的收益类型以及折现率的口径必须是一致的。</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在本次评估具体操作过程中，根据江苏焦点粮食储运有限公司的立项规划，我们对企业未来的收益指标分三阶段进行预测，将企业经营期限分成三个阶段，即第一阶段从基准日至一期建成并投入生产经营；第二阶段从一期完成至二期完成；第三阶段从二期建设完成并投入正常使用至企业现有土地使用权到期。</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由于企业于基准估价日处于前期筹备阶段，存在多种经营方案，而且不确定性因素多，因此本次评估仅考虑保持现有的状态下经营生产，不考虑其他因素的影响。</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设定企业经营至最后期限，资产使用寿命到期，资产残值为0。</w:t>
      </w:r>
    </w:p>
    <w:p>
      <w:pPr>
        <w:spacing w:line="480" w:lineRule="exact"/>
        <w:ind w:firstLine="560" w:firstLineChars="200"/>
        <w:contextualSpacing/>
        <w:rPr>
          <w:rFonts w:ascii="仿宋" w:hAnsi="仿宋" w:eastAsia="仿宋" w:cs="仿宋"/>
          <w:sz w:val="28"/>
          <w:szCs w:val="28"/>
        </w:rPr>
      </w:pPr>
      <w:bookmarkStart w:id="114" w:name="_Hlk46054782"/>
      <w:r>
        <w:rPr>
          <w:rFonts w:hint="eastAsia" w:ascii="仿宋" w:hAnsi="仿宋" w:eastAsia="仿宋" w:cs="仿宋"/>
          <w:sz w:val="28"/>
          <w:szCs w:val="28"/>
        </w:rPr>
        <w:t>企业全部股权价值＝企业整体价值－有息负债</w:t>
      </w:r>
      <w:bookmarkEnd w:id="114"/>
    </w:p>
    <w:p>
      <w:pPr>
        <w:pStyle w:val="4"/>
        <w:numPr>
          <w:ilvl w:val="0"/>
          <w:numId w:val="0"/>
        </w:numPr>
        <w:adjustRightInd/>
        <w:spacing w:before="0" w:after="0" w:line="480" w:lineRule="exact"/>
        <w:ind w:firstLine="560" w:firstLineChars="200"/>
        <w:contextualSpacing/>
        <w:jc w:val="left"/>
        <w:rPr>
          <w:rFonts w:ascii="仿宋" w:hAnsi="仿宋" w:eastAsia="仿宋" w:cs="仿宋"/>
          <w:b w:val="0"/>
          <w:sz w:val="28"/>
          <w:szCs w:val="28"/>
        </w:rPr>
      </w:pPr>
      <w:bookmarkStart w:id="115" w:name="_Toc10601"/>
      <w:r>
        <w:rPr>
          <w:rFonts w:hint="eastAsia" w:ascii="仿宋" w:hAnsi="仿宋" w:eastAsia="仿宋" w:cs="仿宋"/>
          <w:b w:val="0"/>
          <w:sz w:val="28"/>
          <w:szCs w:val="28"/>
        </w:rPr>
        <w:t>（二）收益法适用条件</w:t>
      </w:r>
      <w:bookmarkEnd w:id="115"/>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运用收益法，是将评估对象置于一个完整、现实的经营过程和市场环境中，对企业整体资产的评估。评估基础是对企业资产未来收益的预测和折现率的取值，因此被评估资产必须具备以下前提条件：</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1.委估资产持续经营并能产生经营收益，且经营收益可以用货币计量；</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2.委估资产在未来经营中面临的风险可以计量。</w:t>
      </w:r>
    </w:p>
    <w:p>
      <w:pPr>
        <w:pStyle w:val="4"/>
        <w:numPr>
          <w:ilvl w:val="0"/>
          <w:numId w:val="0"/>
        </w:numPr>
        <w:adjustRightInd/>
        <w:spacing w:before="0" w:after="0" w:line="480" w:lineRule="exact"/>
        <w:ind w:firstLine="560" w:firstLineChars="200"/>
        <w:contextualSpacing/>
        <w:jc w:val="left"/>
        <w:rPr>
          <w:rFonts w:ascii="仿宋" w:hAnsi="仿宋" w:eastAsia="仿宋" w:cs="仿宋"/>
          <w:b w:val="0"/>
          <w:sz w:val="28"/>
          <w:szCs w:val="28"/>
        </w:rPr>
      </w:pPr>
      <w:bookmarkStart w:id="116" w:name="_Toc3357"/>
      <w:r>
        <w:rPr>
          <w:rFonts w:hint="eastAsia" w:ascii="仿宋" w:hAnsi="仿宋" w:eastAsia="仿宋" w:cs="仿宋"/>
          <w:b w:val="0"/>
          <w:sz w:val="28"/>
          <w:szCs w:val="28"/>
        </w:rPr>
        <w:t>（三）收益法评估思路</w:t>
      </w:r>
      <w:bookmarkEnd w:id="116"/>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本次评估按照如下基本思路进行：</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1.由于江苏焦点粮食储运有限公司没有开展正常的经营活动，无相关的经营数据，只能把被评估企业设定为正常经营状态；</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2.对江苏焦点粮食储运有限公司的主营业务及未来收益进行合理的预测；</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3.对江苏焦点粮食储运有限公司的主营业务及未来收益趋势进行判断和估算；</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4.选择适合的评估模型；</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5.根据评估模型和确定的相关参数估算江苏焦点粮食储运有限公司的全部股权价值。</w:t>
      </w:r>
    </w:p>
    <w:p>
      <w:pPr>
        <w:pStyle w:val="4"/>
        <w:numPr>
          <w:ilvl w:val="0"/>
          <w:numId w:val="0"/>
        </w:numPr>
        <w:adjustRightInd/>
        <w:spacing w:before="0" w:after="0" w:line="480" w:lineRule="exact"/>
        <w:ind w:firstLine="560" w:firstLineChars="200"/>
        <w:contextualSpacing/>
        <w:rPr>
          <w:rFonts w:ascii="仿宋" w:hAnsi="仿宋" w:eastAsia="仿宋" w:cs="仿宋"/>
          <w:b w:val="0"/>
          <w:sz w:val="28"/>
          <w:szCs w:val="28"/>
        </w:rPr>
      </w:pPr>
      <w:bookmarkStart w:id="117" w:name="_Toc14532"/>
      <w:r>
        <w:rPr>
          <w:rFonts w:hint="eastAsia" w:ascii="仿宋" w:hAnsi="仿宋" w:eastAsia="仿宋" w:cs="仿宋"/>
          <w:b w:val="0"/>
          <w:sz w:val="28"/>
          <w:szCs w:val="28"/>
        </w:rPr>
        <w:t>（四）收益法评估公式</w:t>
      </w:r>
      <w:bookmarkEnd w:id="117"/>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在本次评估具体操作过程中，我们以企业的年度净利润作为收益额。</w:t>
      </w:r>
    </w:p>
    <w:p>
      <w:pPr>
        <w:spacing w:line="480" w:lineRule="exact"/>
        <w:ind w:firstLine="560" w:firstLineChars="200"/>
        <w:contextualSpacing/>
        <w:rPr>
          <w:rFonts w:ascii="仿宋" w:hAnsi="仿宋" w:eastAsia="仿宋" w:cs="仿宋"/>
          <w:sz w:val="28"/>
        </w:rPr>
      </w:pPr>
      <w:bookmarkStart w:id="118" w:name="_Toc10042"/>
      <w:r>
        <w:rPr>
          <w:rFonts w:hint="eastAsia" w:ascii="仿宋" w:hAnsi="仿宋" w:eastAsia="仿宋" w:cs="仿宋"/>
          <w:sz w:val="28"/>
          <w:szCs w:val="28"/>
        </w:rPr>
        <w:t>江苏焦点粮食储运有限公司未来存续期间，按阶段分别计算各阶段的净利润，以各阶段的净利润为基础，结合设定的净利润增长率，将未来预期收益进行折现求和，即得到江苏焦点粮食储运有限公司在评估基准日时点的市场公允价值。</w:t>
      </w:r>
    </w:p>
    <w:p>
      <w:pPr>
        <w:spacing w:line="480" w:lineRule="exact"/>
        <w:ind w:firstLine="630" w:firstLineChars="225"/>
        <w:contextualSpacing/>
        <w:rPr>
          <w:rFonts w:ascii="仿宋" w:hAnsi="仿宋" w:eastAsia="仿宋" w:cs="仿宋"/>
          <w:sz w:val="28"/>
          <w:szCs w:val="28"/>
        </w:rPr>
      </w:pPr>
      <w:r>
        <w:rPr>
          <w:rFonts w:hint="eastAsia" w:ascii="仿宋" w:hAnsi="仿宋" w:eastAsia="仿宋" w:cs="仿宋"/>
          <w:sz w:val="28"/>
          <w:szCs w:val="28"/>
        </w:rPr>
        <w:t>企业全部股权价值＝企业整体价值－有息负债</w:t>
      </w:r>
    </w:p>
    <w:p>
      <w:pPr>
        <w:pStyle w:val="4"/>
        <w:numPr>
          <w:ilvl w:val="0"/>
          <w:numId w:val="0"/>
        </w:numPr>
        <w:adjustRightInd/>
        <w:spacing w:before="0" w:after="0" w:line="480" w:lineRule="exact"/>
        <w:ind w:firstLine="560" w:firstLineChars="200"/>
        <w:contextualSpacing/>
        <w:jc w:val="left"/>
        <w:rPr>
          <w:rFonts w:ascii="仿宋" w:hAnsi="仿宋" w:eastAsia="仿宋" w:cs="仿宋"/>
          <w:b w:val="0"/>
          <w:sz w:val="28"/>
          <w:szCs w:val="28"/>
        </w:rPr>
      </w:pPr>
      <w:r>
        <w:rPr>
          <w:rFonts w:hint="eastAsia" w:ascii="仿宋" w:hAnsi="仿宋" w:eastAsia="仿宋" w:cs="仿宋"/>
          <w:b w:val="0"/>
          <w:sz w:val="28"/>
          <w:szCs w:val="28"/>
        </w:rPr>
        <w:t>（五）收益预测的基础和假设</w:t>
      </w:r>
      <w:bookmarkEnd w:id="118"/>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1.收益预测的基础</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对江苏焦点粮食储运有限公司的收益预测是根据目前的状况和规划设定的能力以及评估基准日后该公司的预期经营业绩及各项财务指标，考虑该公司主营业务类型及主要产品目前在市场的销售情况和发展前景，以及该公司管理层对企业未来发展前途、市场前景的预测等基础资料，并遵循国家现行的法律、法规和企业会计制度的有关规定，本着客观求实的原则，采用适当的方法编制。</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2.预测的假设条件</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对江苏焦点粮食储运有限公司的未来收益进行预测是采用收益法进行评估的基础，而任何预测都是在一定假设条件下进行的，本次评估收益预测建立在以下假设条件基础上：</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(1)一般性假设</w:t>
      </w:r>
    </w:p>
    <w:p>
      <w:pPr>
        <w:numPr>
          <w:ilvl w:val="0"/>
          <w:numId w:val="10"/>
        </w:numPr>
        <w:tabs>
          <w:tab w:val="left" w:pos="945"/>
          <w:tab w:val="clear" w:pos="1200"/>
        </w:tabs>
        <w:spacing w:line="480" w:lineRule="exact"/>
        <w:ind w:left="0" w:firstLine="560" w:firstLineChars="200"/>
        <w:contextualSpacing/>
        <w:textAlignment w:val="bottom"/>
        <w:rPr>
          <w:rFonts w:ascii="仿宋" w:hAnsi="仿宋" w:eastAsia="仿宋" w:cs="仿宋"/>
          <w:sz w:val="28"/>
          <w:szCs w:val="28"/>
        </w:rPr>
      </w:pPr>
      <w:r>
        <w:rPr>
          <w:rFonts w:hint="eastAsia" w:ascii="仿宋" w:hAnsi="仿宋" w:eastAsia="仿宋" w:cs="仿宋"/>
          <w:sz w:val="28"/>
          <w:szCs w:val="28"/>
        </w:rPr>
        <w:t>江苏焦点粮食储运有限公司在经营中所需遵循的国家和地方的现行法律、法规、制度及社会政治和经济政策与现时无重大变化；</w:t>
      </w:r>
    </w:p>
    <w:p>
      <w:pPr>
        <w:numPr>
          <w:ilvl w:val="0"/>
          <w:numId w:val="10"/>
        </w:numPr>
        <w:tabs>
          <w:tab w:val="left" w:pos="945"/>
          <w:tab w:val="clear" w:pos="1200"/>
        </w:tabs>
        <w:spacing w:line="480" w:lineRule="exact"/>
        <w:ind w:left="0" w:firstLine="560" w:firstLineChars="200"/>
        <w:contextualSpacing/>
        <w:textAlignment w:val="bottom"/>
        <w:rPr>
          <w:rFonts w:ascii="仿宋" w:hAnsi="仿宋" w:eastAsia="仿宋" w:cs="仿宋"/>
          <w:sz w:val="28"/>
          <w:szCs w:val="28"/>
        </w:rPr>
      </w:pPr>
      <w:r>
        <w:rPr>
          <w:rFonts w:hint="eastAsia" w:ascii="仿宋" w:hAnsi="仿宋" w:eastAsia="仿宋" w:cs="仿宋"/>
          <w:sz w:val="28"/>
          <w:szCs w:val="28"/>
        </w:rPr>
        <w:t>江苏焦点粮食储运有限公司将保持持续经营，并在经营方式上与规划保持一致；</w:t>
      </w:r>
    </w:p>
    <w:p>
      <w:pPr>
        <w:numPr>
          <w:ilvl w:val="0"/>
          <w:numId w:val="10"/>
        </w:numPr>
        <w:tabs>
          <w:tab w:val="left" w:pos="945"/>
          <w:tab w:val="clear" w:pos="1200"/>
        </w:tabs>
        <w:spacing w:line="480" w:lineRule="exact"/>
        <w:ind w:left="0" w:firstLine="560" w:firstLineChars="200"/>
        <w:contextualSpacing/>
        <w:textAlignment w:val="bottom"/>
        <w:rPr>
          <w:rFonts w:ascii="仿宋" w:hAnsi="仿宋" w:eastAsia="仿宋" w:cs="仿宋"/>
          <w:sz w:val="28"/>
          <w:szCs w:val="28"/>
        </w:rPr>
      </w:pPr>
      <w:r>
        <w:rPr>
          <w:rFonts w:hint="eastAsia" w:ascii="仿宋" w:hAnsi="仿宋" w:eastAsia="仿宋" w:cs="仿宋"/>
          <w:sz w:val="28"/>
          <w:szCs w:val="28"/>
        </w:rPr>
        <w:t>国家现行的税赋基准及税率，税收优惠政策、银行信贷利率以及其他政策性收费等不发生重大变化；</w:t>
      </w:r>
    </w:p>
    <w:p>
      <w:pPr>
        <w:numPr>
          <w:ilvl w:val="0"/>
          <w:numId w:val="10"/>
        </w:numPr>
        <w:tabs>
          <w:tab w:val="left" w:pos="945"/>
          <w:tab w:val="clear" w:pos="1200"/>
        </w:tabs>
        <w:spacing w:line="480" w:lineRule="exact"/>
        <w:ind w:left="0" w:firstLine="560" w:firstLineChars="200"/>
        <w:contextualSpacing/>
        <w:textAlignment w:val="bottom"/>
        <w:rPr>
          <w:rFonts w:ascii="仿宋" w:hAnsi="仿宋" w:eastAsia="仿宋" w:cs="仿宋"/>
          <w:sz w:val="28"/>
          <w:szCs w:val="28"/>
        </w:rPr>
      </w:pPr>
      <w:r>
        <w:rPr>
          <w:rFonts w:hint="eastAsia" w:ascii="仿宋" w:hAnsi="仿宋" w:eastAsia="仿宋" w:cs="仿宋"/>
          <w:sz w:val="28"/>
          <w:szCs w:val="28"/>
        </w:rPr>
        <w:t xml:space="preserve">资产持续经营假设是指评估时需根据被评估资产按目前的用途和使用的方式、规模、频度、环境等情况继续使用，或者在有所改变的基础上使用，相应确定评估方法、参数和依据。 </w:t>
      </w:r>
    </w:p>
    <w:p>
      <w:pPr>
        <w:numPr>
          <w:ilvl w:val="0"/>
          <w:numId w:val="10"/>
        </w:numPr>
        <w:tabs>
          <w:tab w:val="left" w:pos="945"/>
          <w:tab w:val="clear" w:pos="1200"/>
        </w:tabs>
        <w:spacing w:line="480" w:lineRule="exact"/>
        <w:ind w:left="0" w:firstLine="560" w:firstLineChars="200"/>
        <w:contextualSpacing/>
        <w:textAlignment w:val="bottom"/>
        <w:rPr>
          <w:rFonts w:ascii="仿宋" w:hAnsi="仿宋" w:eastAsia="仿宋" w:cs="仿宋"/>
          <w:sz w:val="28"/>
          <w:szCs w:val="28"/>
        </w:rPr>
      </w:pPr>
      <w:r>
        <w:rPr>
          <w:rFonts w:hint="eastAsia" w:ascii="仿宋" w:hAnsi="仿宋" w:eastAsia="仿宋" w:cs="仿宋"/>
          <w:sz w:val="28"/>
          <w:szCs w:val="28"/>
        </w:rPr>
        <w:t>无其他人力不可抗拒及不可预见因素造成的重大不利影响。</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(2)针对性假设</w:t>
      </w:r>
    </w:p>
    <w:p>
      <w:pPr>
        <w:pStyle w:val="88"/>
        <w:numPr>
          <w:ilvl w:val="1"/>
          <w:numId w:val="10"/>
        </w:numPr>
        <w:tabs>
          <w:tab w:val="left" w:pos="945"/>
          <w:tab w:val="clear" w:pos="1200"/>
        </w:tabs>
        <w:adjustRightInd/>
        <w:spacing w:line="480" w:lineRule="exact"/>
        <w:ind w:left="0" w:firstLine="560" w:firstLineChars="200"/>
        <w:contextualSpacing/>
        <w:rPr>
          <w:rFonts w:ascii="仿宋" w:hAnsi="仿宋" w:eastAsia="仿宋" w:cs="仿宋"/>
          <w:szCs w:val="28"/>
        </w:rPr>
      </w:pPr>
      <w:r>
        <w:rPr>
          <w:rFonts w:hint="eastAsia" w:ascii="仿宋" w:hAnsi="仿宋" w:eastAsia="仿宋" w:cs="仿宋"/>
          <w:szCs w:val="28"/>
        </w:rPr>
        <w:t>假设江苏焦点粮食储运有限公司各年间的技术队伍及其高级管理人员保持相对稳定，不会发生重大的核心专业人员流失问题；</w:t>
      </w:r>
    </w:p>
    <w:p>
      <w:pPr>
        <w:pStyle w:val="88"/>
        <w:numPr>
          <w:ilvl w:val="1"/>
          <w:numId w:val="10"/>
        </w:numPr>
        <w:tabs>
          <w:tab w:val="left" w:pos="945"/>
          <w:tab w:val="clear" w:pos="1200"/>
        </w:tabs>
        <w:adjustRightInd/>
        <w:spacing w:line="480" w:lineRule="exact"/>
        <w:ind w:left="0" w:firstLine="560" w:firstLineChars="200"/>
        <w:contextualSpacing/>
        <w:rPr>
          <w:rFonts w:ascii="仿宋" w:hAnsi="仿宋" w:eastAsia="仿宋" w:cs="仿宋"/>
          <w:szCs w:val="28"/>
        </w:rPr>
      </w:pPr>
      <w:r>
        <w:rPr>
          <w:rFonts w:hint="eastAsia" w:ascii="仿宋" w:hAnsi="仿宋" w:eastAsia="仿宋" w:cs="仿宋"/>
          <w:szCs w:val="28"/>
        </w:rPr>
        <w:t>江苏焦点粮食储运有限公司各经营主体现有和未来经营者是负责的，且公司管理层仍按现在的经营模式和销售状态经营；</w:t>
      </w:r>
    </w:p>
    <w:p>
      <w:pPr>
        <w:pStyle w:val="88"/>
        <w:numPr>
          <w:ilvl w:val="1"/>
          <w:numId w:val="10"/>
        </w:numPr>
        <w:tabs>
          <w:tab w:val="left" w:pos="945"/>
          <w:tab w:val="clear" w:pos="1200"/>
        </w:tabs>
        <w:adjustRightInd/>
        <w:spacing w:line="480" w:lineRule="exact"/>
        <w:ind w:left="0" w:firstLine="560" w:firstLineChars="200"/>
        <w:contextualSpacing/>
        <w:rPr>
          <w:rFonts w:ascii="仿宋" w:hAnsi="仿宋" w:eastAsia="仿宋" w:cs="仿宋"/>
          <w:szCs w:val="28"/>
        </w:rPr>
      </w:pPr>
      <w:r>
        <w:rPr>
          <w:rFonts w:hint="eastAsia" w:ascii="仿宋" w:hAnsi="仿宋" w:eastAsia="仿宋" w:cs="仿宋"/>
          <w:szCs w:val="28"/>
        </w:rPr>
        <w:t>江苏焦点粮食储运有限公司未来经营者遵守国家相关法律和法规，不会出现影响公司发展和收益实现的重大违规事项；</w:t>
      </w:r>
    </w:p>
    <w:p>
      <w:pPr>
        <w:pStyle w:val="88"/>
        <w:numPr>
          <w:ilvl w:val="1"/>
          <w:numId w:val="10"/>
        </w:numPr>
        <w:tabs>
          <w:tab w:val="left" w:pos="945"/>
          <w:tab w:val="clear" w:pos="1200"/>
        </w:tabs>
        <w:adjustRightInd/>
        <w:spacing w:line="480" w:lineRule="exact"/>
        <w:ind w:left="0" w:firstLine="560" w:firstLineChars="200"/>
        <w:contextualSpacing/>
        <w:rPr>
          <w:rFonts w:ascii="仿宋" w:hAnsi="仿宋" w:eastAsia="仿宋" w:cs="仿宋"/>
          <w:szCs w:val="28"/>
        </w:rPr>
      </w:pPr>
      <w:r>
        <w:rPr>
          <w:rFonts w:hint="eastAsia" w:ascii="仿宋" w:hAnsi="仿宋" w:eastAsia="仿宋" w:cs="仿宋"/>
          <w:szCs w:val="28"/>
        </w:rPr>
        <w:t>江苏焦点粮食储运有限公司未来经营按照所提供的经营规划进行，且计划能够实现。</w:t>
      </w:r>
    </w:p>
    <w:p>
      <w:pPr>
        <w:pStyle w:val="3"/>
        <w:numPr>
          <w:ilvl w:val="0"/>
          <w:numId w:val="9"/>
        </w:numPr>
        <w:adjustRightInd/>
        <w:spacing w:before="0" w:after="0" w:line="480" w:lineRule="exact"/>
        <w:ind w:left="0" w:firstLine="560" w:firstLineChars="200"/>
        <w:contextualSpacing/>
        <w:rPr>
          <w:rFonts w:ascii="仿宋" w:hAnsi="仿宋" w:eastAsia="仿宋" w:cs="仿宋"/>
          <w:sz w:val="28"/>
          <w:szCs w:val="28"/>
        </w:rPr>
      </w:pPr>
      <w:bookmarkStart w:id="119" w:name="_Toc485741052"/>
      <w:bookmarkStart w:id="120" w:name="_Toc468392854"/>
      <w:bookmarkStart w:id="121" w:name="_Toc26247"/>
      <w:r>
        <w:rPr>
          <w:rFonts w:hint="eastAsia" w:ascii="仿宋" w:hAnsi="仿宋" w:eastAsia="仿宋" w:cs="仿宋"/>
          <w:sz w:val="28"/>
          <w:szCs w:val="28"/>
        </w:rPr>
        <w:t>收益法评估过程</w:t>
      </w:r>
      <w:bookmarkEnd w:id="119"/>
      <w:bookmarkEnd w:id="120"/>
      <w:bookmarkEnd w:id="121"/>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本次评估过程介绍如下：</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1.接受江苏焦点粮食储运有限公司的委托，以2020年06月30日为评估基准日，对江苏焦点粮食储运有限公司全部股权价值进行评估，根据评估目的和对象，拟定评估工作方案；</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2.听取江苏焦点粮食储运有限公司工作人员关于业务基本情况及资产财务状况的介绍，收集有关经营和基础财务数据；</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3.分析类似江苏焦点粮食储运有限公司的类似项目经营情况，特别是收入、成本和费用的构成及其变化原因，分析其获利能力及发展趋势；</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4.根据江苏焦点粮食储运有限公司的规划和潜在市场优势，预测公司未来期间的预期收益、收益期限，并根据经济环境和市场发展状况对预测值进行适当调整；</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6.建立收益法评估定价模型；</w:t>
      </w:r>
    </w:p>
    <w:p>
      <w:pPr>
        <w:spacing w:line="480" w:lineRule="exact"/>
        <w:ind w:firstLine="560" w:firstLineChars="200"/>
        <w:contextualSpacing/>
        <w:rPr>
          <w:rFonts w:ascii="仿宋" w:hAnsi="仿宋" w:eastAsia="仿宋" w:cs="仿宋"/>
          <w:sz w:val="24"/>
        </w:rPr>
      </w:pPr>
      <w:r>
        <w:rPr>
          <w:rFonts w:hint="eastAsia" w:ascii="仿宋" w:hAnsi="仿宋" w:eastAsia="仿宋" w:cs="仿宋"/>
          <w:sz w:val="28"/>
          <w:szCs w:val="28"/>
        </w:rPr>
        <w:t>7.确定折现率，估算委估对象的公允价值；</w:t>
      </w:r>
    </w:p>
    <w:p>
      <w:pPr>
        <w:pStyle w:val="3"/>
        <w:numPr>
          <w:ilvl w:val="0"/>
          <w:numId w:val="9"/>
        </w:numPr>
        <w:adjustRightInd/>
        <w:spacing w:before="0" w:after="0" w:line="480" w:lineRule="exact"/>
        <w:ind w:left="0" w:firstLine="560" w:firstLineChars="200"/>
        <w:contextualSpacing/>
        <w:rPr>
          <w:rFonts w:ascii="仿宋" w:hAnsi="仿宋" w:eastAsia="仿宋" w:cs="仿宋"/>
          <w:sz w:val="28"/>
          <w:szCs w:val="28"/>
        </w:rPr>
      </w:pPr>
      <w:bookmarkStart w:id="122" w:name="_Toc468392855"/>
      <w:bookmarkStart w:id="123" w:name="_Toc485741053"/>
      <w:bookmarkStart w:id="124" w:name="_Toc11202"/>
      <w:r>
        <w:rPr>
          <w:rFonts w:hint="eastAsia" w:ascii="仿宋" w:hAnsi="仿宋" w:eastAsia="仿宋" w:cs="仿宋"/>
          <w:sz w:val="28"/>
          <w:szCs w:val="28"/>
        </w:rPr>
        <w:t>宏观经济形势、行业现状分析</w:t>
      </w:r>
      <w:bookmarkEnd w:id="122"/>
      <w:bookmarkEnd w:id="123"/>
      <w:bookmarkEnd w:id="124"/>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(一)宏观经济形势分析</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2018年在供给侧结构性改革加快推进下，我国宏观经济平稳增长可期。在政策取向上，须坚持宏观政策要稳、产业政策要准、微观政策要活、改革政策要实、社会政策要托底的思路，在宏观调控政策和改革政策之间形成叠加效应，在供给侧结构性改革上取得重大突破，为长期发展注入新动力。</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1.我国宏观经济运行呈现如下特点：</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(1)工业与投资联动效应明显。2017年年初，我国宏观经济继续有所下行。一季度GDP增长6.7%，比上年四季度回落0.1个百分点。主要是工业增长继续放慢，一季度规模以上工业增加值同比增长5.8%，比上年同期回落0.4个百分点，为多年来的季度低点。而工业增速的持续放慢与传统产业调整加深，特别是市场和政府双重作用下的“去产能”加快有关。进入下半年，工业增长企稳、民间投资有所反弹，总投资也企稳回升。工业增长企稳与物价形势的积极变化（PPI跌幅年初大幅收窄，9月份摆脱长达4年多的负增长转向正增长，使相关企业盈利改善，投资意愿增强）。同时政府采取措施激发民间投资活力，使民间投资自9月份开始止跌回升，前11个月累计民间投资同比增长3.1%，比1-7月份的最低点回升1个百分点。民间投资的回升带动了整体投资增长的反弹。</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(2)政府积极支撑避免了总投资的大幅下降。与民间投资明显下滑相对应的是，政府投资和房地产投资在明显回升，较大程度上抵消了来自民间投资增长下滑的影响。首先，政府主导的投资有所加快。主要表现为：基础设施投资加快。1-11月累计，完成</w:t>
      </w:r>
      <w:r>
        <w:rPr>
          <w:rFonts w:hint="eastAsia"/>
        </w:rPr>
        <w:fldChar w:fldCharType="begin"/>
      </w:r>
      <w:r>
        <w:instrText xml:space="preserve"> HYPERLINK "http://www.ocn.com.cn/reports/1343jichusheshi.htm" \t "_blank" </w:instrText>
      </w:r>
      <w:r>
        <w:rPr>
          <w:rFonts w:hint="eastAsia"/>
        </w:rPr>
        <w:fldChar w:fldCharType="separate"/>
      </w:r>
      <w:r>
        <w:rPr>
          <w:rFonts w:hint="eastAsia" w:ascii="仿宋" w:hAnsi="仿宋" w:eastAsia="仿宋" w:cs="仿宋"/>
          <w:sz w:val="28"/>
          <w:szCs w:val="28"/>
        </w:rPr>
        <w:t>基础设施</w:t>
      </w:r>
      <w:r>
        <w:rPr>
          <w:rFonts w:hint="eastAsia" w:ascii="仿宋" w:hAnsi="仿宋" w:eastAsia="仿宋" w:cs="仿宋"/>
          <w:sz w:val="28"/>
          <w:szCs w:val="28"/>
        </w:rPr>
        <w:fldChar w:fldCharType="end"/>
      </w:r>
      <w:r>
        <w:rPr>
          <w:rFonts w:hint="eastAsia" w:ascii="仿宋" w:hAnsi="仿宋" w:eastAsia="仿宋" w:cs="仿宋"/>
          <w:sz w:val="28"/>
          <w:szCs w:val="28"/>
        </w:rPr>
        <w:t>投资（不含电力、热力、燃气及水生产和供应业）同比增长18.9%，比同期全部投资增速快10.6个百分点。从资金来源看，国家预算内资金增长较快，前10个月同比增长16.5%，上半年增长更快，高达21.8%。反映政府主导的投资加快的还有就是国有控股投资再现高增长。1-11月累计，完成国有控股投资19.1万亿，同比增长20.2%，比上年同期加快8.5个百分点。其次，房地产投资增长迅速反弹。在各种利好政策的刺激下，房地产销售明显回暖，导致房地产投资稳定回升。1-11月累计，房地产开发投资同比增长6.5%，比上年同期加快4.2个百分点。据测算，房地产投资回升对总投资的贡献超过了1个百分点，对GDP的贡献在0.4个百分点以上。</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(3)消费增长与物价增长“双稳定”。我国经济正在由投资主导向消费主导转换，这是我国经济向中高端迈进的必然趋势。1-11月累计，社会消费品零售总额同比增长10.4%，扣除物价因素实际增长9.7%。1-10月份，全国网上</w:t>
      </w:r>
      <w:r>
        <w:rPr>
          <w:rFonts w:hint="eastAsia"/>
        </w:rPr>
        <w:fldChar w:fldCharType="begin"/>
      </w:r>
      <w:r>
        <w:instrText xml:space="preserve"> HYPERLINK "http://www.ocn.com.cn/reports/2006102lingshouye.shtml" \t "_blank" </w:instrText>
      </w:r>
      <w:r>
        <w:rPr>
          <w:rFonts w:hint="eastAsia"/>
        </w:rPr>
        <w:fldChar w:fldCharType="separate"/>
      </w:r>
      <w:r>
        <w:rPr>
          <w:rFonts w:hint="eastAsia" w:ascii="仿宋" w:hAnsi="仿宋" w:eastAsia="仿宋" w:cs="仿宋"/>
          <w:sz w:val="28"/>
          <w:szCs w:val="28"/>
        </w:rPr>
        <w:t>零售</w:t>
      </w:r>
      <w:r>
        <w:rPr>
          <w:rFonts w:hint="eastAsia" w:ascii="仿宋" w:hAnsi="仿宋" w:eastAsia="仿宋" w:cs="仿宋"/>
          <w:sz w:val="28"/>
          <w:szCs w:val="28"/>
        </w:rPr>
        <w:fldChar w:fldCharType="end"/>
      </w:r>
      <w:r>
        <w:rPr>
          <w:rFonts w:hint="eastAsia" w:ascii="仿宋" w:hAnsi="仿宋" w:eastAsia="仿宋" w:cs="仿宋"/>
          <w:sz w:val="28"/>
          <w:szCs w:val="28"/>
        </w:rPr>
        <w:t>额同比增长26.2%。其中，实物商品网上零售额增长25.7%，占社会消费品零售总额的比重为12.7%。与消费平稳增长相对应的，我国物价总水平继续保持稳定，既没有出现明显通胀，也没有明显的通货紧缩压力。1-11月累计，全国居民消费价格总水平同比增长2.0%，比上半年微降0.1个百分点，比上年同期提高0.6个百分点，通缩的隐忧逐步消失。物价总水平稳定的基础是食品和粮食价格的稳定。1-11月份，</w:t>
      </w:r>
      <w:r>
        <w:rPr>
          <w:rFonts w:hint="eastAsia"/>
        </w:rPr>
        <w:fldChar w:fldCharType="begin"/>
      </w:r>
      <w:r>
        <w:instrText xml:space="preserve"> HYPERLINK "http://www.ocn.com.cn/reports/1467shipin.shtml" \t "_blank" </w:instrText>
      </w:r>
      <w:r>
        <w:rPr>
          <w:rFonts w:hint="eastAsia"/>
        </w:rPr>
        <w:fldChar w:fldCharType="separate"/>
      </w:r>
      <w:r>
        <w:rPr>
          <w:rFonts w:hint="eastAsia" w:ascii="仿宋" w:hAnsi="仿宋" w:eastAsia="仿宋" w:cs="仿宋"/>
          <w:sz w:val="28"/>
          <w:szCs w:val="28"/>
        </w:rPr>
        <w:t>食品</w:t>
      </w:r>
      <w:r>
        <w:rPr>
          <w:rFonts w:hint="eastAsia" w:ascii="仿宋" w:hAnsi="仿宋" w:eastAsia="仿宋" w:cs="仿宋"/>
          <w:sz w:val="28"/>
          <w:szCs w:val="28"/>
        </w:rPr>
        <w:fldChar w:fldCharType="end"/>
      </w:r>
      <w:r>
        <w:rPr>
          <w:rFonts w:hint="eastAsia" w:ascii="仿宋" w:hAnsi="仿宋" w:eastAsia="仿宋" w:cs="仿宋"/>
          <w:sz w:val="28"/>
          <w:szCs w:val="28"/>
        </w:rPr>
        <w:t>烟酒类价格同比增长3.9%，属于合理范围。其中粮食价格同比仅增长0.5%，这是因为连续多年粮食丰收，库存充足，国际粮食价格也相当稳定所致。食品烟酒类价格回升主要是由于蔬菜、猪肉价格上涨较快，而其他多数食品价格趋于稳定。</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(4)就业在总体平稳中呈现分化走势。就业稳定向好是本轮经济调整的最大亮点。今年年初，在经济增长继续有所放慢以及钢铁、煤炭等传统工业加快去产能的形势下，就业压力一度有所加大，特别是国有企业的隐性失业问题显现，但在二季度后明显趋稳。据人社部数据，前三季度，城镇新增就业1067万，提前一个季度超额完成了全年预期目标任务。而国家统计局的31个大城市的城镇调查失业率也一直保持稳定，多数月份处于5%-5.1%。在经济下行压力的情况下，就业继续稳定向好，既有经济规模效应、产业升级效应的重要贡献，也体现了宏观政策的积极支持效应。但像产业分化一样，今年以来就业结构分化特征也十分明显。一方面，随着传统制造业的持续调整和去产能力度的加大，投资和就业面临较大压力。民间投资的大幅回落及国企去产能中的职工分流对就业形成了较大压力。另一方面，产业升级和“双创发展”创造了更多就业机会。除服务业和高技术产业快速增长对就业形成较强支撑外，网上购物这一新业态的快速发展也创造了许多新就业机会。目前我国快递员数量超过200万，而两年前仅90万人。1-9月份，全国</w:t>
      </w:r>
      <w:r>
        <w:rPr>
          <w:rFonts w:hint="eastAsia"/>
        </w:rPr>
        <w:fldChar w:fldCharType="begin"/>
      </w:r>
      <w:r>
        <w:instrText xml:space="preserve"> HYPERLINK "http://www.ocn.com.cn/reports/2006130kuaidi.shtml" \t "_blank" </w:instrText>
      </w:r>
      <w:r>
        <w:rPr>
          <w:rFonts w:hint="eastAsia"/>
        </w:rPr>
        <w:fldChar w:fldCharType="separate"/>
      </w:r>
      <w:r>
        <w:rPr>
          <w:rFonts w:hint="eastAsia" w:ascii="仿宋" w:hAnsi="仿宋" w:eastAsia="仿宋" w:cs="仿宋"/>
          <w:sz w:val="28"/>
          <w:szCs w:val="28"/>
        </w:rPr>
        <w:t>快递</w:t>
      </w:r>
      <w:r>
        <w:rPr>
          <w:rFonts w:hint="eastAsia" w:ascii="仿宋" w:hAnsi="仿宋" w:eastAsia="仿宋" w:cs="仿宋"/>
          <w:sz w:val="28"/>
          <w:szCs w:val="28"/>
        </w:rPr>
        <w:fldChar w:fldCharType="end"/>
      </w:r>
      <w:r>
        <w:rPr>
          <w:rFonts w:hint="eastAsia" w:ascii="仿宋" w:hAnsi="仿宋" w:eastAsia="仿宋" w:cs="仿宋"/>
          <w:sz w:val="28"/>
          <w:szCs w:val="28"/>
        </w:rPr>
        <w:t>服务企业业务量和收入同比分别增长54.0%和43.9%，比去年同期分别加快8.0个和10.7个百分点。</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(5)PPI由负转正是经济运行一大亮点。在CPI增幅温和回升的同时，PPI（工业生产者出厂价格指数）增长则出现了反转性变化，PPI在三季度未终于结束了持续四年多的负增长，进入快速回升轨道。一季度PPI同比下降4.8%，比上年全年和上年四季度分别收窄0.4个和1.1个百分点，二季度PPI同比下降2.9%，比一季度大幅收窄1.9个百分点。其中钢铁、</w:t>
      </w:r>
      <w:r>
        <w:rPr>
          <w:rFonts w:hint="eastAsia"/>
        </w:rPr>
        <w:fldChar w:fldCharType="begin"/>
      </w:r>
      <w:r>
        <w:instrText xml:space="preserve"> HYPERLINK "http://www.ocn.com.cn/2012/1253meitan.shtml" \t "_blank" </w:instrText>
      </w:r>
      <w:r>
        <w:rPr>
          <w:rFonts w:hint="eastAsia"/>
        </w:rPr>
        <w:fldChar w:fldCharType="separate"/>
      </w:r>
      <w:r>
        <w:rPr>
          <w:rFonts w:hint="eastAsia" w:ascii="仿宋" w:hAnsi="仿宋" w:eastAsia="仿宋" w:cs="仿宋"/>
          <w:sz w:val="28"/>
          <w:szCs w:val="28"/>
        </w:rPr>
        <w:t>煤炭</w:t>
      </w:r>
      <w:r>
        <w:rPr>
          <w:rFonts w:hint="eastAsia" w:ascii="仿宋" w:hAnsi="仿宋" w:eastAsia="仿宋" w:cs="仿宋"/>
          <w:sz w:val="28"/>
          <w:szCs w:val="28"/>
        </w:rPr>
        <w:fldChar w:fldCharType="end"/>
      </w:r>
      <w:r>
        <w:rPr>
          <w:rFonts w:hint="eastAsia" w:ascii="仿宋" w:hAnsi="仿宋" w:eastAsia="仿宋" w:cs="仿宋"/>
          <w:sz w:val="28"/>
          <w:szCs w:val="28"/>
        </w:rPr>
        <w:t>和有色金属的价格都出现了较大程度的环比上涨，这有效地改善了一些生产资料生产企业的效益。从一季度PPI降幅有所收窄，到二季度PPI降幅的大幅收窄，再到三季度末的转负为正，并持续回升，这意味着传统产业调整已取得积极成效，特别是减产量、去产能的积极效果初现，这是经济出现内在性向好的重要表现。</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从以上分析，我们可以对中国经济运行作出以下判断：我国经济稳中向好的基础在不断巩固，出现了“双重向好”的新格局：新结构、新经济、新动能在加速形成，传统产业调整基本到位。</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新结构、新经济、新动能既包括服务业占比不断上升、对经济增长贡献率的提高，也包括新产业、新业态快速发展，还包括消费升级及消费对经济增长的作用不断增强；传统产业调整基本到位主要表现为两个方面。一是工业增长调整基本到位。既表现为工业生产的止跌回升，也表现为工业投资降至低点并有所回升。二是PPI增长由负转正。在市场和政府力量的同时推进下，我国去产能取得了积极成效，其重要标志就是PPI结束了持续4年多的负增长，开始出现全面回升。</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2019年以来，中国经济稳中求进、稳中有忧，经济下行的压力有所上升，尤其是在中美经贸摩擦的背景下，中国经济所面临的外部环境严峻，与自身发展所面临的不充分不平衡问题相叠加，使得稳增长、防风险的难度加大。</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从需求侧来看，消费增速持续疲软，虽房地产开发投资维持高位，基建投资小幅回升，但受工业企业利润增速下降、进出口增速下滑的影响，制造业投资大幅下滑，总投资增速有所回落。家庭部门杠杆率持续攀升，家庭流动性愈益收紧，普通家庭收入增速持续下降，收入差距未见明显缩小。不断强化的家庭储蓄动机不仅放大了总需求不足的影响，还进一步加剧了企业经营的困难，迫使企业被动加杠杆，实体部门杠杆率逆势反弹。在财政政策持续宽松的背景下，地方政府债务率亦有所增加。虽金融部门去杠杆成效显著，但宏观杠杆率不降反升。</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2.当前宏观经济运行中存在的主要问题</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目前我国经济出现的积极变化并不意味着经济将出现V型反转、出现明显回升。从结构分析可知，这次我国宏观经济的企稳向好带有明显的内在性，但止跌回稳仍是初步的，基础仍然不牢，仍存在反复的可能性。而当前我国宏观经济运行仍存在这样一些不可忽视的问题。</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(1)房地产调整明显延后，对未来经济增长形成压力。我国房地产发展一直存在一些不健康、不理性的因素，致使房地产泡沫不断增大。这次也不例外。由于房地产政策调整，今年房地产销售量再次出现暴增，并伴随一、二线城市房价暴涨。数据显示，1-11月商品房销售面积和销售额分别增长24.3%和37.5%，其中住宅增长还要高些，分别增长24.5%和39.3%。这一涨幅远超2013年的快速增长，仅低于2009年暴涨。</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(2)工业经济调整进入由量向质转变，面临多重结构性难题。从工业发展看，工业经济的速度调整基本到位，进一步下行的空间有限，但提质增效空间才刚刚打开，工业调整升级仍需要较长时间，面临不少结构升级难题。工业调整的关键是促进工业升级和形成创新驱动的机制，否则，传统产业回升的基础将不牢，也就不能真正的形成“双引擎”，推动经济持续健康发展。</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(3)服务业发展和创新发展面临较大的体制机制障碍。服务业不仅是经济调整期就业的“蓄水池”，而且也是新常态下产业升级、提高制造业和整体经济竞争力的重要途径。今年上半年服务业增加值同比增长7.5%，尽管比GDP和工业的增速快，但相对前两年有所回落。主要原因是服务业发展还面临较多的体制性或政策性障碍，潜力远没有发挥出来。</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(4)世界经济复苏依然乏力，国际金融风险仍未有效释放。此次源于美国次贷危机的全球金融危机，是50年一遇的大危机，其带来的全球经济调整远没有结束。为了应对金融危机造成过大的冲击，避免出现上世纪30年代的大萧条和70年代的危机，以美国为首的西方国家普遍采取了两种应对措施：一是大幅放松货币政策，如零利率政策和量化宽松政策；二是政府强力干预，如美国对汽车、“两房”及投行采取少见的保护性政策，欧洲提出不让一家大银行破产。</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这样的政策可以避免过大的危机冲击，但却带来一个明显的后遗症：危机的影响拉长，短痛转为长痛。这就是世界经济复苏为什么乏力的最重要原因。其中最大的问题就是：零利率意味着货币的价格严重扭曲，使得经济结构调整缺乏有效的价格杠杆引导，全球资源重新配置陷入紊乱。因此，全球结构失衡问题难以得到根本解决。当务之急，就是让利率正常化，恢复货币政策的基本功能。否则，全球金融危机的影响将会持续，市场总是无法“出清”，风险和错误被掩盖，被累积，可能酝酿另一场大的金融市场波动。</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全球经济增长乏力的背后还有一个重要因素，就是贸易和投资的保护主义采取变相的方式大行其道。从政策上讲，再工业化是其典型代表；从后果看，全球贸易增速持续多年低于全球经济增速，到年底，全球已持续五年出现贸易增速明显低于经济增速的情况，这一现象不仅违背了全球化的大方向、大趋势，而且意味着各国都在向内而不是向外来拓展发展空间，这严重影响全球资源配置效率。成本上升、结构扭曲，世界市场变小，这样与开放发展相悖的现象，正是全球经济长期低迷不振的又一原因，全球经济低迷，且结构扭曲，必然导致全球各种乱象（政治、经济、社会）层出不穷。</w:t>
      </w:r>
    </w:p>
    <w:p>
      <w:pPr>
        <w:spacing w:line="48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从更深层次来看，结构性问题仍未得到根本改善，尤其是僵尸企业无法出清提高了企业融资成本，拖延了民营企业、中小企业融资难、融资贵问题的缓解，对经济发展的桎梏日益凸显。同时，区域间市场化发展不平衡限制了企业对冲各类冲击的工具选项，导致企业部门的劳动力需求疲软，劳动力市场承压。</w:t>
      </w:r>
    </w:p>
    <w:p>
      <w:pPr>
        <w:numPr>
          <w:ilvl w:val="0"/>
          <w:numId w:val="0"/>
        </w:numPr>
        <w:adjustRightInd w:val="0"/>
        <w:snapToGrid w:val="0"/>
        <w:spacing w:line="440" w:lineRule="exact"/>
        <w:ind w:left="700" w:leftChars="0"/>
        <w:rPr>
          <w:rFonts w:ascii="仿宋" w:hAnsi="仿宋" w:eastAsia="仿宋" w:cs="仿宋"/>
          <w:b/>
          <w:sz w:val="28"/>
          <w:szCs w:val="28"/>
        </w:rPr>
      </w:pPr>
      <w:r>
        <w:rPr>
          <w:rFonts w:hint="eastAsia" w:ascii="仿宋" w:hAnsi="仿宋" w:eastAsia="仿宋" w:cs="仿宋"/>
          <w:b/>
          <w:sz w:val="28"/>
          <w:szCs w:val="28"/>
        </w:rPr>
        <w:t>行业分析</w:t>
      </w:r>
    </w:p>
    <w:p>
      <w:pPr>
        <w:pStyle w:val="48"/>
        <w:shd w:val="clear" w:color="auto" w:fill="FFFFFF"/>
        <w:spacing w:before="0" w:beforeAutospacing="0" w:after="0" w:afterAutospacing="0" w:line="480" w:lineRule="exact"/>
        <w:ind w:firstLine="560" w:firstLineChars="200"/>
        <w:rPr>
          <w:rStyle w:val="59"/>
          <w:rFonts w:ascii="仿宋" w:hAnsi="仿宋" w:eastAsia="仿宋" w:cs="仿宋"/>
          <w:color w:val="222222"/>
          <w:sz w:val="28"/>
          <w:szCs w:val="28"/>
          <w:shd w:val="clear" w:color="auto" w:fill="FFFFFF"/>
        </w:rPr>
      </w:pPr>
      <w:r>
        <w:rPr>
          <w:rStyle w:val="59"/>
          <w:rFonts w:hint="eastAsia" w:ascii="仿宋" w:hAnsi="仿宋" w:eastAsia="仿宋" w:cs="仿宋"/>
          <w:color w:val="222222"/>
          <w:sz w:val="28"/>
          <w:szCs w:val="28"/>
          <w:shd w:val="clear" w:color="auto" w:fill="FFFFFF"/>
        </w:rPr>
        <w:t>1、仓储行业的发展状况</w:t>
      </w:r>
    </w:p>
    <w:p>
      <w:pPr>
        <w:pStyle w:val="48"/>
        <w:shd w:val="clear" w:color="auto" w:fill="FFFFFF"/>
        <w:spacing w:before="0" w:beforeAutospacing="0" w:after="0" w:afterAutospacing="0" w:line="480" w:lineRule="exact"/>
        <w:ind w:firstLine="560" w:firstLineChars="200"/>
        <w:rPr>
          <w:rFonts w:ascii="仿宋" w:hAnsi="仿宋" w:eastAsia="仿宋" w:cs="仿宋"/>
          <w:color w:val="222222"/>
          <w:sz w:val="28"/>
          <w:szCs w:val="28"/>
        </w:rPr>
      </w:pPr>
      <w:r>
        <w:rPr>
          <w:rStyle w:val="59"/>
          <w:rFonts w:hint="eastAsia" w:ascii="仿宋" w:hAnsi="仿宋" w:eastAsia="仿宋" w:cs="仿宋"/>
          <w:color w:val="222222"/>
          <w:sz w:val="28"/>
          <w:szCs w:val="28"/>
          <w:shd w:val="clear" w:color="auto" w:fill="FFFFFF"/>
        </w:rPr>
        <w:t>（1）我国仓储行业发展现状分析</w:t>
      </w:r>
    </w:p>
    <w:p>
      <w:pPr>
        <w:pStyle w:val="48"/>
        <w:shd w:val="clear" w:color="auto" w:fill="FFFFFF"/>
        <w:spacing w:before="0" w:beforeAutospacing="0" w:after="0" w:afterAutospacing="0" w:line="480" w:lineRule="exact"/>
        <w:ind w:firstLine="560" w:firstLineChars="200"/>
        <w:rPr>
          <w:rFonts w:ascii="仿宋" w:hAnsi="仿宋" w:eastAsia="仿宋" w:cs="仿宋"/>
          <w:color w:val="222222"/>
          <w:sz w:val="28"/>
          <w:szCs w:val="28"/>
        </w:rPr>
      </w:pPr>
      <w:r>
        <w:rPr>
          <w:rFonts w:hint="eastAsia" w:ascii="仿宋" w:hAnsi="仿宋" w:eastAsia="仿宋" w:cs="仿宋"/>
          <w:color w:val="222222"/>
          <w:sz w:val="28"/>
          <w:szCs w:val="28"/>
          <w:shd w:val="clear" w:color="auto" w:fill="FFFFFF"/>
        </w:rPr>
        <w:t>2019年4月中国仓储指数为54.3%，较上月回落2.9个百分点。除延伸业务量外，其余各分项指数均位于荣枯线以上呈扩张态势。当前我国仓储业务量增长显著，周转效率继续加快，库存水平不再上升。综合来看，市场较为活跃的主要原因，一是一季度经济数据好转，宏观情绪利好;二是市场需求集中释放。</w:t>
      </w:r>
    </w:p>
    <w:p>
      <w:pPr>
        <w:pStyle w:val="48"/>
        <w:shd w:val="clear" w:color="auto" w:fill="FFFFFF"/>
        <w:spacing w:before="0" w:beforeAutospacing="0" w:after="0" w:afterAutospacing="0" w:line="480" w:lineRule="exact"/>
        <w:ind w:firstLine="560" w:firstLineChars="200"/>
        <w:rPr>
          <w:rFonts w:ascii="仿宋" w:hAnsi="仿宋" w:eastAsia="仿宋" w:cs="仿宋"/>
          <w:color w:val="222222"/>
          <w:sz w:val="28"/>
          <w:szCs w:val="28"/>
        </w:rPr>
      </w:pPr>
      <w:r>
        <w:rPr>
          <w:rStyle w:val="59"/>
          <w:rFonts w:hint="eastAsia" w:ascii="仿宋" w:hAnsi="仿宋" w:eastAsia="仿宋" w:cs="仿宋"/>
          <w:color w:val="222222"/>
          <w:sz w:val="28"/>
          <w:szCs w:val="28"/>
          <w:shd w:val="clear" w:color="auto" w:fill="FFFFFF"/>
        </w:rPr>
        <w:fldChar w:fldCharType="begin"/>
      </w:r>
      <w:r>
        <w:rPr>
          <w:rStyle w:val="59"/>
          <w:rFonts w:hint="eastAsia" w:ascii="仿宋" w:hAnsi="仿宋" w:eastAsia="仿宋" w:cs="仿宋"/>
          <w:color w:val="222222"/>
          <w:sz w:val="28"/>
          <w:szCs w:val="28"/>
          <w:shd w:val="clear" w:color="auto" w:fill="FFFFFF"/>
        </w:rPr>
        <w:instrText xml:space="preserve"> = 1 \* GB3 \* MERGEFORMAT </w:instrText>
      </w:r>
      <w:r>
        <w:rPr>
          <w:rStyle w:val="59"/>
          <w:rFonts w:hint="eastAsia" w:ascii="仿宋" w:hAnsi="仿宋" w:eastAsia="仿宋" w:cs="仿宋"/>
          <w:color w:val="222222"/>
          <w:sz w:val="28"/>
          <w:szCs w:val="28"/>
          <w:shd w:val="clear" w:color="auto" w:fill="FFFFFF"/>
        </w:rPr>
        <w:fldChar w:fldCharType="separate"/>
      </w:r>
      <w:r>
        <w:rPr>
          <w:rFonts w:hint="eastAsia" w:ascii="仿宋" w:hAnsi="仿宋" w:eastAsia="仿宋" w:cs="仿宋"/>
        </w:rPr>
        <w:t>①</w:t>
      </w:r>
      <w:r>
        <w:rPr>
          <w:rStyle w:val="59"/>
          <w:rFonts w:hint="eastAsia" w:ascii="仿宋" w:hAnsi="仿宋" w:eastAsia="仿宋" w:cs="仿宋"/>
          <w:color w:val="222222"/>
          <w:sz w:val="28"/>
          <w:szCs w:val="28"/>
          <w:shd w:val="clear" w:color="auto" w:fill="FFFFFF"/>
        </w:rPr>
        <w:fldChar w:fldCharType="end"/>
      </w:r>
      <w:r>
        <w:rPr>
          <w:rStyle w:val="59"/>
          <w:rFonts w:hint="eastAsia" w:ascii="仿宋" w:hAnsi="仿宋" w:eastAsia="仿宋" w:cs="仿宋"/>
          <w:color w:val="222222"/>
          <w:sz w:val="28"/>
          <w:szCs w:val="28"/>
          <w:shd w:val="clear" w:color="auto" w:fill="FFFFFF"/>
        </w:rPr>
        <w:t>我国仓储行业四大经营主体分析情况</w:t>
      </w:r>
    </w:p>
    <w:p>
      <w:pPr>
        <w:spacing w:line="480" w:lineRule="exact"/>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drawing>
          <wp:anchor distT="0" distB="0" distL="114300" distR="114300" simplePos="0" relativeHeight="251658240" behindDoc="0" locked="0" layoutInCell="1" allowOverlap="1">
            <wp:simplePos x="0" y="0"/>
            <wp:positionH relativeFrom="column">
              <wp:posOffset>826135</wp:posOffset>
            </wp:positionH>
            <wp:positionV relativeFrom="paragraph">
              <wp:posOffset>3175</wp:posOffset>
            </wp:positionV>
            <wp:extent cx="3392805" cy="2296795"/>
            <wp:effectExtent l="0" t="0" r="0" b="8255"/>
            <wp:wrapNone/>
            <wp:docPr id="10" name="图片 1" descr="微信图片_2020060508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微信图片_20200605081242"/>
                    <pic:cNvPicPr>
                      <a:picLocks noChangeAspect="1"/>
                    </pic:cNvPicPr>
                  </pic:nvPicPr>
                  <pic:blipFill>
                    <a:blip r:embed="rId11"/>
                    <a:stretch>
                      <a:fillRect/>
                    </a:stretch>
                  </pic:blipFill>
                  <pic:spPr>
                    <a:xfrm>
                      <a:off x="0" y="0"/>
                      <a:ext cx="3392634" cy="2296899"/>
                    </a:xfrm>
                    <a:prstGeom prst="rect">
                      <a:avLst/>
                    </a:prstGeom>
                    <a:noFill/>
                    <a:ln>
                      <a:noFill/>
                    </a:ln>
                  </pic:spPr>
                </pic:pic>
              </a:graphicData>
            </a:graphic>
          </wp:anchor>
        </w:drawing>
      </w:r>
    </w:p>
    <w:p>
      <w:pPr>
        <w:pStyle w:val="48"/>
        <w:shd w:val="clear" w:color="auto" w:fill="FFFFFF"/>
        <w:spacing w:before="0" w:beforeAutospacing="0" w:after="0" w:afterAutospacing="0" w:line="480" w:lineRule="exact"/>
        <w:rPr>
          <w:rStyle w:val="59"/>
          <w:rFonts w:ascii="仿宋" w:hAnsi="仿宋" w:eastAsia="仿宋" w:cs="仿宋"/>
          <w:color w:val="222222"/>
          <w:sz w:val="28"/>
          <w:szCs w:val="28"/>
          <w:shd w:val="clear" w:color="auto" w:fill="FFFFFF"/>
        </w:rPr>
      </w:pPr>
    </w:p>
    <w:p>
      <w:pPr>
        <w:pStyle w:val="48"/>
        <w:shd w:val="clear" w:color="auto" w:fill="FFFFFF"/>
        <w:spacing w:before="0" w:beforeAutospacing="0" w:after="0" w:afterAutospacing="0" w:line="480" w:lineRule="exact"/>
        <w:rPr>
          <w:rStyle w:val="59"/>
          <w:rFonts w:ascii="仿宋" w:hAnsi="仿宋" w:eastAsia="仿宋" w:cs="仿宋"/>
          <w:color w:val="222222"/>
          <w:sz w:val="28"/>
          <w:szCs w:val="28"/>
          <w:shd w:val="clear" w:color="auto" w:fill="FFFFFF"/>
        </w:rPr>
      </w:pPr>
    </w:p>
    <w:p>
      <w:pPr>
        <w:pStyle w:val="48"/>
        <w:shd w:val="clear" w:color="auto" w:fill="FFFFFF"/>
        <w:spacing w:before="0" w:beforeAutospacing="0" w:after="0" w:afterAutospacing="0" w:line="480" w:lineRule="exact"/>
        <w:rPr>
          <w:rStyle w:val="59"/>
          <w:rFonts w:ascii="仿宋" w:hAnsi="仿宋" w:eastAsia="仿宋" w:cs="仿宋"/>
          <w:color w:val="222222"/>
          <w:sz w:val="28"/>
          <w:szCs w:val="28"/>
          <w:shd w:val="clear" w:color="auto" w:fill="FFFFFF"/>
        </w:rPr>
      </w:pPr>
    </w:p>
    <w:p>
      <w:pPr>
        <w:pStyle w:val="48"/>
        <w:shd w:val="clear" w:color="auto" w:fill="FFFFFF"/>
        <w:spacing w:before="0" w:beforeAutospacing="0" w:after="0" w:afterAutospacing="0" w:line="480" w:lineRule="exact"/>
        <w:rPr>
          <w:rStyle w:val="59"/>
          <w:rFonts w:ascii="仿宋" w:hAnsi="仿宋" w:eastAsia="仿宋" w:cs="仿宋"/>
          <w:color w:val="222222"/>
          <w:sz w:val="28"/>
          <w:szCs w:val="28"/>
          <w:shd w:val="clear" w:color="auto" w:fill="FFFFFF"/>
        </w:rPr>
      </w:pPr>
    </w:p>
    <w:p>
      <w:pPr>
        <w:pStyle w:val="48"/>
        <w:shd w:val="clear" w:color="auto" w:fill="FFFFFF"/>
        <w:spacing w:before="0" w:beforeAutospacing="0" w:after="0" w:afterAutospacing="0" w:line="480" w:lineRule="exact"/>
        <w:rPr>
          <w:rStyle w:val="59"/>
          <w:rFonts w:ascii="仿宋" w:hAnsi="仿宋" w:eastAsia="仿宋" w:cs="仿宋"/>
          <w:color w:val="222222"/>
          <w:sz w:val="28"/>
          <w:szCs w:val="28"/>
          <w:shd w:val="clear" w:color="auto" w:fill="FFFFFF"/>
        </w:rPr>
      </w:pPr>
    </w:p>
    <w:p>
      <w:pPr>
        <w:pStyle w:val="48"/>
        <w:shd w:val="clear" w:color="auto" w:fill="FFFFFF"/>
        <w:spacing w:before="0" w:beforeAutospacing="0" w:after="0" w:afterAutospacing="0" w:line="480" w:lineRule="exact"/>
        <w:rPr>
          <w:rStyle w:val="59"/>
          <w:rFonts w:ascii="仿宋" w:hAnsi="仿宋" w:eastAsia="仿宋" w:cs="仿宋"/>
          <w:color w:val="222222"/>
          <w:sz w:val="28"/>
          <w:szCs w:val="28"/>
          <w:shd w:val="clear" w:color="auto" w:fill="FFFFFF"/>
        </w:rPr>
      </w:pPr>
    </w:p>
    <w:p>
      <w:pPr>
        <w:pStyle w:val="48"/>
        <w:shd w:val="clear" w:color="auto" w:fill="FFFFFF"/>
        <w:spacing w:before="0" w:beforeAutospacing="0" w:after="0" w:afterAutospacing="0" w:line="480" w:lineRule="exact"/>
        <w:ind w:firstLine="560" w:firstLineChars="200"/>
        <w:rPr>
          <w:rFonts w:ascii="仿宋" w:hAnsi="仿宋" w:eastAsia="仿宋" w:cs="仿宋"/>
          <w:color w:val="222222"/>
          <w:sz w:val="28"/>
          <w:szCs w:val="28"/>
        </w:rPr>
      </w:pPr>
      <w:r>
        <w:rPr>
          <w:rStyle w:val="59"/>
          <w:rFonts w:hint="eastAsia" w:ascii="仿宋" w:hAnsi="仿宋" w:eastAsia="仿宋" w:cs="仿宋"/>
          <w:color w:val="222222"/>
          <w:sz w:val="28"/>
          <w:szCs w:val="28"/>
          <w:shd w:val="clear" w:color="auto" w:fill="FFFFFF"/>
        </w:rPr>
        <w:fldChar w:fldCharType="begin"/>
      </w:r>
      <w:r>
        <w:rPr>
          <w:rStyle w:val="59"/>
          <w:rFonts w:hint="eastAsia" w:ascii="仿宋" w:hAnsi="仿宋" w:eastAsia="仿宋" w:cs="仿宋"/>
          <w:color w:val="222222"/>
          <w:sz w:val="28"/>
          <w:szCs w:val="28"/>
          <w:shd w:val="clear" w:color="auto" w:fill="FFFFFF"/>
        </w:rPr>
        <w:instrText xml:space="preserve"> = 2 \* GB3 \* MERGEFORMAT </w:instrText>
      </w:r>
      <w:r>
        <w:rPr>
          <w:rStyle w:val="59"/>
          <w:rFonts w:hint="eastAsia" w:ascii="仿宋" w:hAnsi="仿宋" w:eastAsia="仿宋" w:cs="仿宋"/>
          <w:color w:val="222222"/>
          <w:sz w:val="28"/>
          <w:szCs w:val="28"/>
          <w:shd w:val="clear" w:color="auto" w:fill="FFFFFF"/>
        </w:rPr>
        <w:fldChar w:fldCharType="separate"/>
      </w:r>
      <w:r>
        <w:rPr>
          <w:rFonts w:hint="eastAsia" w:ascii="仿宋" w:hAnsi="仿宋" w:eastAsia="仿宋" w:cs="仿宋"/>
        </w:rPr>
        <w:t>②</w:t>
      </w:r>
      <w:r>
        <w:rPr>
          <w:rStyle w:val="59"/>
          <w:rFonts w:hint="eastAsia" w:ascii="仿宋" w:hAnsi="仿宋" w:eastAsia="仿宋" w:cs="仿宋"/>
          <w:color w:val="222222"/>
          <w:sz w:val="28"/>
          <w:szCs w:val="28"/>
          <w:shd w:val="clear" w:color="auto" w:fill="FFFFFF"/>
        </w:rPr>
        <w:fldChar w:fldCharType="end"/>
      </w:r>
      <w:r>
        <w:rPr>
          <w:rStyle w:val="59"/>
          <w:rFonts w:hint="eastAsia" w:ascii="仿宋" w:hAnsi="仿宋" w:eastAsia="仿宋" w:cs="仿宋"/>
          <w:color w:val="222222"/>
          <w:sz w:val="28"/>
          <w:szCs w:val="28"/>
          <w:shd w:val="clear" w:color="auto" w:fill="FFFFFF"/>
        </w:rPr>
        <w:t>我国仓储业整体呈稳中上升的趋势</w:t>
      </w:r>
    </w:p>
    <w:p>
      <w:pPr>
        <w:pStyle w:val="48"/>
        <w:shd w:val="clear" w:color="auto" w:fill="FFFFFF"/>
        <w:spacing w:before="0" w:beforeAutospacing="0" w:after="0" w:afterAutospacing="0" w:line="480" w:lineRule="exact"/>
        <w:ind w:firstLine="560" w:firstLineChars="200"/>
        <w:rPr>
          <w:rFonts w:ascii="仿宋" w:hAnsi="仿宋" w:eastAsia="仿宋" w:cs="仿宋"/>
          <w:color w:val="222222"/>
          <w:sz w:val="28"/>
          <w:szCs w:val="28"/>
        </w:rPr>
      </w:pPr>
      <w:r>
        <w:rPr>
          <w:rFonts w:hint="eastAsia" w:ascii="仿宋" w:hAnsi="仿宋" w:eastAsia="仿宋" w:cs="仿宋"/>
          <w:color w:val="222222"/>
          <w:sz w:val="28"/>
          <w:szCs w:val="28"/>
          <w:shd w:val="clear" w:color="auto" w:fill="FFFFFF"/>
        </w:rPr>
        <w:t>传统仓储是指仓储物流企业按照客户要求从事的库存管理和库存控制等仓储物流业务。而现代仓储物流业的涵义更为广泛，其不仅提供货物储存、保管、中转等传统仓储服务，同时能够提供流通领域的加工、组装、包装、商品配送、信息分析、质押监管融资等增值服务以及仓库基础设施的建设租赁等服务。但仓储物流行业仍主要由仓储和物流两大部分组成，其与这两大细分行业的发展密切相关。</w:t>
      </w:r>
    </w:p>
    <w:p>
      <w:pPr>
        <w:pStyle w:val="48"/>
        <w:shd w:val="clear" w:color="auto" w:fill="FFFFFF"/>
        <w:spacing w:before="0" w:beforeAutospacing="0" w:after="0" w:afterAutospacing="0" w:line="480" w:lineRule="exact"/>
        <w:ind w:firstLine="560" w:firstLineChars="200"/>
        <w:rPr>
          <w:rFonts w:ascii="仿宋" w:hAnsi="仿宋" w:eastAsia="仿宋" w:cs="仿宋"/>
          <w:color w:val="222222"/>
          <w:sz w:val="28"/>
          <w:szCs w:val="28"/>
        </w:rPr>
      </w:pPr>
      <w:r>
        <w:rPr>
          <w:rFonts w:hint="eastAsia" w:ascii="仿宋" w:hAnsi="仿宋" w:eastAsia="仿宋" w:cs="仿宋"/>
          <w:color w:val="222222"/>
          <w:sz w:val="28"/>
          <w:szCs w:val="28"/>
          <w:shd w:val="clear" w:color="auto" w:fill="FFFFFF"/>
        </w:rPr>
        <w:t>从行业景气度来看，2018年1-4月，我国仓储物流行业景气指数增长态势明显。其中，受春节因素影响，2月份景气指数落入收缩区间;但随着节后生产经营活动的恢复，一直到4月份行业都处于扩张区间的高位水平。而在经历了高峰后行业景气度连续多月都有明显滑坡，这主要受高温多雨的季节性回落影响。随后，自8月起随着营商环境改善，“金九银十”及中秋国庆、双十一等节点影响，传统旺季来临，连续四个月保持在扩张区间，仓储物流行业整体运行良好，行业景气度持续回升。2019年受春节和开学的影响，物流行业景气指数呈上升趋势。</w:t>
      </w:r>
    </w:p>
    <w:p>
      <w:pPr>
        <w:spacing w:line="480" w:lineRule="exact"/>
        <w:ind w:firstLine="560" w:firstLineChars="200"/>
        <w:rPr>
          <w:rStyle w:val="59"/>
          <w:rFonts w:ascii="仿宋" w:hAnsi="仿宋" w:eastAsia="仿宋" w:cs="仿宋"/>
          <w:color w:val="222222"/>
          <w:sz w:val="28"/>
          <w:szCs w:val="28"/>
          <w:shd w:val="clear" w:color="auto" w:fill="FFFFFF"/>
        </w:rPr>
      </w:pPr>
      <w:r>
        <w:rPr>
          <w:rStyle w:val="59"/>
          <w:rFonts w:hint="eastAsia" w:ascii="仿宋" w:hAnsi="仿宋" w:eastAsia="仿宋" w:cs="仿宋"/>
          <w:color w:val="222222"/>
          <w:sz w:val="28"/>
          <w:szCs w:val="28"/>
          <w:shd w:val="clear" w:color="auto" w:fill="FFFFFF"/>
        </w:rPr>
        <w:t>（2）我国华东区域仓储业状况</w:t>
      </w:r>
    </w:p>
    <w:p>
      <w:pPr>
        <w:spacing w:line="480" w:lineRule="exact"/>
        <w:ind w:firstLine="560" w:firstLineChars="2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华东区域作为我国经济总量最大的区域，其工业基础雄厚，物流需求庞大，近年来，仓储用地供应减少使得华东地区仓储产业链由中心城市逐渐向周边卫星城市拓展，长三角区域一体化的实施为华东区域物流仓储行业的快速发展创造了条件。华东区域是我国经济总量最大的区域，根据国家统计局公布的数据显示，2019年华东区域的GDP总量达37.55万亿元，占全国GDP的比重达37.9%。</w:t>
      </w:r>
    </w:p>
    <w:p>
      <w:pPr>
        <w:spacing w:line="480" w:lineRule="exact"/>
        <w:ind w:firstLine="560" w:firstLineChars="2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巨大的经济体量意味着华东地区商品交易十分活跃，货运总量规模庞大，2019年华东地区完成货运总量达161.9亿吨，占全国货运总量的比重达30.32%，货运规模不断扩大。主要仓储城市工业仓储用地供应减少，使得仓库建设向周边卫星城市扩散。</w:t>
      </w:r>
    </w:p>
    <w:p>
      <w:pPr>
        <w:spacing w:line="480" w:lineRule="exact"/>
        <w:ind w:firstLine="560" w:firstLineChars="200"/>
        <w:rPr>
          <w:rStyle w:val="59"/>
          <w:rFonts w:ascii="仿宋" w:hAnsi="仿宋" w:eastAsia="仿宋" w:cs="仿宋"/>
          <w:color w:val="222222"/>
          <w:sz w:val="28"/>
          <w:szCs w:val="28"/>
          <w:shd w:val="clear" w:color="auto" w:fill="FFFFFF"/>
        </w:rPr>
      </w:pPr>
      <w:r>
        <w:rPr>
          <w:rStyle w:val="59"/>
          <w:rFonts w:hint="eastAsia" w:ascii="仿宋" w:hAnsi="仿宋" w:eastAsia="仿宋" w:cs="仿宋"/>
          <w:color w:val="222222"/>
          <w:sz w:val="28"/>
          <w:szCs w:val="28"/>
          <w:shd w:val="clear" w:color="auto" w:fill="FFFFFF"/>
        </w:rPr>
        <w:t>（3）中国仓容规模</w:t>
      </w:r>
    </w:p>
    <w:p>
      <w:pPr>
        <w:spacing w:line="480" w:lineRule="exact"/>
        <w:ind w:firstLine="560" w:firstLineChars="200"/>
        <w:rPr>
          <w:rStyle w:val="59"/>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中国仓容规模进一步增加，设施功能不断完善，安全储粮能力持续增强，总体达到了世界较先进水平;粮食物流骨干通道全部打通，公路、铁路、水路多式联运格局基本形成，原粮散粮运输、成品粮集装化运输比重大幅提高，粮食物流效率稳步提升。2018年中国共有标准粮食仓房仓容6.7亿吨，简易仓容2.4亿吨，有效仓容总量比1996年增长31.9%。2017年，中国粮食物流总量达到4.8亿吨，其中跨省物流量2.3亿吨。</w:t>
      </w:r>
    </w:p>
    <w:p>
      <w:pPr>
        <w:pStyle w:val="48"/>
        <w:shd w:val="clear" w:color="auto" w:fill="FFFFFF"/>
        <w:spacing w:before="0" w:beforeAutospacing="0" w:after="0" w:afterAutospacing="0" w:line="480" w:lineRule="exact"/>
        <w:ind w:firstLine="560" w:firstLineChars="200"/>
        <w:rPr>
          <w:rStyle w:val="59"/>
          <w:rFonts w:ascii="仿宋" w:hAnsi="仿宋" w:eastAsia="仿宋" w:cs="仿宋"/>
          <w:color w:val="222222"/>
          <w:sz w:val="28"/>
          <w:szCs w:val="28"/>
          <w:shd w:val="clear" w:color="auto" w:fill="FFFFFF"/>
        </w:rPr>
      </w:pPr>
      <w:r>
        <w:rPr>
          <w:rStyle w:val="59"/>
          <w:rFonts w:hint="eastAsia" w:ascii="仿宋" w:hAnsi="仿宋" w:eastAsia="仿宋" w:cs="仿宋"/>
          <w:color w:val="222222"/>
          <w:sz w:val="28"/>
          <w:szCs w:val="28"/>
          <w:shd w:val="clear" w:color="auto" w:fill="FFFFFF"/>
        </w:rPr>
        <w:t>2、农产品加工行业的发展状况</w:t>
      </w:r>
    </w:p>
    <w:p>
      <w:pPr>
        <w:spacing w:line="480" w:lineRule="exact"/>
        <w:ind w:firstLine="560" w:firstLineChars="200"/>
        <w:rPr>
          <w:rStyle w:val="59"/>
          <w:rFonts w:ascii="仿宋" w:hAnsi="仿宋" w:eastAsia="仿宋" w:cs="仿宋"/>
          <w:bCs w:val="0"/>
          <w:color w:val="222222"/>
          <w:sz w:val="28"/>
          <w:szCs w:val="28"/>
          <w:shd w:val="clear" w:color="auto" w:fill="FFFFFF"/>
        </w:rPr>
      </w:pPr>
      <w:r>
        <w:rPr>
          <w:rStyle w:val="59"/>
          <w:rFonts w:hint="eastAsia" w:ascii="仿宋" w:hAnsi="仿宋" w:eastAsia="仿宋" w:cs="仿宋"/>
          <w:bCs w:val="0"/>
          <w:color w:val="222222"/>
          <w:sz w:val="28"/>
          <w:szCs w:val="28"/>
          <w:shd w:val="clear" w:color="auto" w:fill="FFFFFF"/>
        </w:rPr>
        <w:t>（1）粮食生产状况</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t>2014年达到6.39亿吨，2015年达到6.61亿吨，连续4年稳定在6.5亿吨以上水平。2018年产量近6.58亿吨，比1996年的5.00亿吨增产30%以上，比1978年的3.00亿吨增产116%，是1949年1.10亿吨的近6倍。艾媒咨询分析师认为，中国粮食产量稳步增长，粮食产量波动幅度基本稳定在合理区间，除少数年份外，一般保持在±6%的范围之内。</w:t>
      </w:r>
    </w:p>
    <w:p>
      <w:pPr>
        <w:spacing w:line="480" w:lineRule="exact"/>
        <w:ind w:firstLine="560" w:firstLineChars="200"/>
        <w:rPr>
          <w:rStyle w:val="59"/>
          <w:rFonts w:ascii="仿宋" w:hAnsi="仿宋" w:eastAsia="仿宋" w:cs="仿宋"/>
          <w:bCs w:val="0"/>
          <w:color w:val="222222"/>
          <w:sz w:val="28"/>
          <w:szCs w:val="28"/>
          <w:shd w:val="clear" w:color="auto" w:fill="FFFFFF"/>
        </w:rPr>
      </w:pPr>
      <w:r>
        <w:rPr>
          <w:rStyle w:val="59"/>
          <w:rFonts w:hint="eastAsia" w:ascii="仿宋" w:hAnsi="仿宋" w:eastAsia="仿宋" w:cs="仿宋"/>
          <w:bCs w:val="0"/>
          <w:color w:val="222222"/>
          <w:sz w:val="28"/>
          <w:szCs w:val="28"/>
          <w:shd w:val="clear" w:color="auto" w:fill="FFFFFF"/>
        </w:rPr>
        <w:t>（2）粮食产区集中化</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t>2017年13个主产区粮食产量占全国的比重达到78%，2019主产区累计收购秋粮3722万吨。分品种看，中晚籼稻1708万吨、粳稻838万吨、玉米1065万吨，大豆111万吨。艾媒咨询分析师认为，中国粮业遵循比较效益规律将进一步向主产区，包括向国家级主产区和各地区域级主产区集中，形成稻米、小麦、玉米、大豆等优质专用粮食产业带。粮食主产区将成为中国农业粮食结构调整的稳定器，成为中国粮食安全的基础。</w:t>
      </w:r>
    </w:p>
    <w:p>
      <w:pPr>
        <w:spacing w:line="480" w:lineRule="exact"/>
        <w:ind w:firstLine="560" w:firstLineChars="200"/>
        <w:rPr>
          <w:rStyle w:val="59"/>
          <w:rFonts w:ascii="仿宋" w:hAnsi="仿宋" w:eastAsia="仿宋" w:cs="仿宋"/>
          <w:bCs w:val="0"/>
          <w:color w:val="222222"/>
          <w:sz w:val="28"/>
          <w:szCs w:val="28"/>
          <w:shd w:val="clear" w:color="auto" w:fill="FFFFFF"/>
        </w:rPr>
      </w:pPr>
      <w:r>
        <w:rPr>
          <w:rStyle w:val="59"/>
          <w:rFonts w:hint="eastAsia" w:ascii="仿宋" w:hAnsi="仿宋" w:eastAsia="仿宋" w:cs="仿宋"/>
          <w:bCs w:val="0"/>
          <w:color w:val="222222"/>
          <w:sz w:val="28"/>
          <w:szCs w:val="28"/>
          <w:shd w:val="clear" w:color="auto" w:fill="FFFFFF"/>
        </w:rPr>
        <w:t>（3）农产品加工业</w:t>
      </w:r>
    </w:p>
    <w:p>
      <w:pPr>
        <w:spacing w:line="480" w:lineRule="exact"/>
        <w:ind w:firstLine="560" w:firstLineChars="200"/>
        <w:rPr>
          <w:rFonts w:ascii="仿宋" w:hAnsi="仿宋" w:eastAsia="仿宋" w:cs="仿宋"/>
          <w:color w:val="222222"/>
          <w:sz w:val="24"/>
          <w:shd w:val="clear" w:color="auto" w:fill="FFFFFF"/>
        </w:rPr>
      </w:pPr>
      <w:r>
        <w:rPr>
          <w:rStyle w:val="59"/>
          <w:rFonts w:hint="eastAsia" w:ascii="仿宋" w:hAnsi="仿宋" w:eastAsia="仿宋" w:cs="仿宋"/>
          <w:b w:val="0"/>
          <w:color w:val="222222"/>
          <w:sz w:val="28"/>
          <w:szCs w:val="28"/>
          <w:shd w:val="clear" w:color="auto" w:fill="FFFFFF"/>
        </w:rPr>
        <w:t>农产品加工业是我国国民经济的基础性、战略性支柱产业。改革开放以来，我国农产品加工业产值年均增长速度超过10%，明显高于同期GDP增长速度。虽然近年来增长速度有所放缓，但作为推动农业现代化和支撑乡村振兴战略的核心力量，未来30年我国农产品加工业仍然面临着发展的战略机遇期。</w:t>
      </w:r>
    </w:p>
    <w:p>
      <w:pPr>
        <w:pStyle w:val="48"/>
        <w:shd w:val="clear" w:color="auto" w:fill="FFFFFF"/>
        <w:spacing w:before="0" w:beforeAutospacing="0" w:after="0" w:afterAutospacing="0" w:line="480" w:lineRule="exact"/>
        <w:ind w:firstLine="560" w:firstLineChars="200"/>
        <w:rPr>
          <w:rStyle w:val="59"/>
          <w:rFonts w:ascii="仿宋" w:hAnsi="仿宋" w:eastAsia="仿宋" w:cs="仿宋"/>
          <w:b w:val="0"/>
          <w:color w:val="222222"/>
          <w:kern w:val="2"/>
          <w:sz w:val="28"/>
          <w:szCs w:val="28"/>
          <w:shd w:val="clear" w:color="auto" w:fill="FFFFFF"/>
        </w:rPr>
      </w:pPr>
      <w:r>
        <w:rPr>
          <w:rStyle w:val="59"/>
          <w:rFonts w:hint="eastAsia" w:ascii="仿宋" w:hAnsi="仿宋" w:eastAsia="仿宋" w:cs="仿宋"/>
          <w:b w:val="0"/>
          <w:color w:val="222222"/>
          <w:kern w:val="2"/>
          <w:sz w:val="28"/>
          <w:szCs w:val="28"/>
          <w:shd w:val="clear" w:color="auto" w:fill="FFFFFF"/>
        </w:rPr>
        <w:t>我国农产品加工业总体上增速稳步回升、质量效益持续改善，供给结构不断优化，出口贸易恢复增长，发展态势稳中向好。</w:t>
      </w:r>
    </w:p>
    <w:p>
      <w:pPr>
        <w:spacing w:line="480" w:lineRule="exact"/>
        <w:ind w:firstLine="560" w:firstLineChars="200"/>
        <w:rPr>
          <w:rStyle w:val="59"/>
          <w:rFonts w:ascii="仿宋" w:hAnsi="仿宋" w:eastAsia="仿宋" w:cs="仿宋"/>
          <w:bCs w:val="0"/>
          <w:color w:val="222222"/>
          <w:sz w:val="28"/>
          <w:szCs w:val="28"/>
          <w:shd w:val="clear" w:color="auto" w:fill="FFFFFF"/>
        </w:rPr>
      </w:pPr>
      <w:r>
        <w:rPr>
          <w:rStyle w:val="59"/>
          <w:rFonts w:hint="eastAsia" w:ascii="仿宋" w:hAnsi="仿宋" w:eastAsia="仿宋" w:cs="仿宋"/>
          <w:bCs w:val="0"/>
          <w:color w:val="222222"/>
          <w:sz w:val="28"/>
          <w:szCs w:val="28"/>
          <w:shd w:val="clear" w:color="auto" w:fill="FFFFFF"/>
        </w:rPr>
        <w:t>（4）农产品加工业发展的特点</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fldChar w:fldCharType="begin"/>
      </w:r>
      <w:r>
        <w:rPr>
          <w:rStyle w:val="59"/>
          <w:rFonts w:hint="eastAsia" w:ascii="仿宋" w:hAnsi="仿宋" w:eastAsia="仿宋" w:cs="仿宋"/>
          <w:b w:val="0"/>
          <w:color w:val="222222"/>
          <w:sz w:val="28"/>
          <w:szCs w:val="28"/>
          <w:shd w:val="clear" w:color="auto" w:fill="FFFFFF"/>
        </w:rPr>
        <w:instrText xml:space="preserve"> = 1 \* GB3 \* MERGEFORMAT </w:instrText>
      </w:r>
      <w:r>
        <w:rPr>
          <w:rStyle w:val="59"/>
          <w:rFonts w:hint="eastAsia" w:ascii="仿宋" w:hAnsi="仿宋" w:eastAsia="仿宋" w:cs="仿宋"/>
          <w:b w:val="0"/>
          <w:color w:val="222222"/>
          <w:sz w:val="28"/>
          <w:szCs w:val="28"/>
          <w:shd w:val="clear" w:color="auto" w:fill="FFFFFF"/>
        </w:rPr>
        <w:fldChar w:fldCharType="separate"/>
      </w:r>
      <w:r>
        <w:rPr>
          <w:rFonts w:hint="eastAsia" w:ascii="仿宋" w:hAnsi="仿宋" w:eastAsia="仿宋" w:cs="仿宋"/>
        </w:rPr>
        <w:t>①</w:t>
      </w:r>
      <w:r>
        <w:rPr>
          <w:rStyle w:val="59"/>
          <w:rFonts w:hint="eastAsia" w:ascii="仿宋" w:hAnsi="仿宋" w:eastAsia="仿宋" w:cs="仿宋"/>
          <w:b w:val="0"/>
          <w:color w:val="222222"/>
          <w:sz w:val="28"/>
          <w:szCs w:val="28"/>
          <w:shd w:val="clear" w:color="auto" w:fill="FFFFFF"/>
        </w:rPr>
        <w:fldChar w:fldCharType="end"/>
      </w:r>
      <w:r>
        <w:rPr>
          <w:rStyle w:val="59"/>
          <w:rFonts w:hint="eastAsia" w:ascii="仿宋" w:hAnsi="仿宋" w:eastAsia="仿宋" w:cs="仿宋"/>
          <w:b w:val="0"/>
          <w:color w:val="222222"/>
          <w:sz w:val="28"/>
          <w:szCs w:val="28"/>
          <w:shd w:val="clear" w:color="auto" w:fill="FFFFFF"/>
        </w:rPr>
        <w:t>加工转化水平不断提高</w:t>
      </w:r>
    </w:p>
    <w:p>
      <w:pPr>
        <w:spacing w:line="480" w:lineRule="exact"/>
        <w:ind w:firstLine="560" w:firstLineChars="200"/>
        <w:rPr>
          <w:rFonts w:ascii="仿宋" w:hAnsi="仿宋" w:eastAsia="仿宋" w:cs="仿宋"/>
          <w:color w:val="222222"/>
          <w:sz w:val="24"/>
        </w:rPr>
      </w:pPr>
      <w:r>
        <w:rPr>
          <w:rStyle w:val="59"/>
          <w:rFonts w:hint="eastAsia" w:ascii="仿宋" w:hAnsi="仿宋" w:eastAsia="仿宋" w:cs="仿宋"/>
          <w:b w:val="0"/>
          <w:color w:val="222222"/>
          <w:sz w:val="28"/>
          <w:szCs w:val="28"/>
          <w:shd w:val="clear" w:color="auto" w:fill="FFFFFF"/>
        </w:rPr>
        <w:t>农产品加工将农产品原料经过加工处理后形成新的商品，实现价值的提升。</w:t>
      </w:r>
    </w:p>
    <w:p>
      <w:pPr>
        <w:widowControl/>
        <w:shd w:val="clear" w:color="auto" w:fill="FFFFFF"/>
        <w:jc w:val="center"/>
        <w:rPr>
          <w:rFonts w:ascii="仿宋" w:hAnsi="仿宋" w:eastAsia="仿宋" w:cs="仿宋"/>
          <w:color w:val="222222"/>
          <w:sz w:val="24"/>
        </w:rPr>
      </w:pPr>
      <w:r>
        <w:rPr>
          <w:rFonts w:hint="eastAsia" w:ascii="仿宋" w:hAnsi="仿宋" w:eastAsia="仿宋" w:cs="仿宋"/>
          <w:color w:val="222222"/>
          <w:kern w:val="0"/>
          <w:sz w:val="24"/>
          <w:shd w:val="clear" w:color="auto" w:fill="FFFFFF"/>
          <w:lang w:bidi="ar"/>
        </w:rPr>
        <w:fldChar w:fldCharType="begin"/>
      </w:r>
      <w:r>
        <w:rPr>
          <w:rFonts w:hint="eastAsia" w:ascii="仿宋" w:hAnsi="仿宋" w:eastAsia="仿宋" w:cs="仿宋"/>
          <w:color w:val="222222"/>
          <w:kern w:val="0"/>
          <w:sz w:val="24"/>
          <w:shd w:val="clear" w:color="auto" w:fill="FFFFFF"/>
          <w:lang w:bidi="ar"/>
        </w:rPr>
        <w:instrText xml:space="preserve">INCLUDEPICTURE \d "http://p1.pstatp.com/large/pgc-image/fcfa237a888543d9ac808806d8332e8d" \* MERGEFORMATINET </w:instrText>
      </w:r>
      <w:r>
        <w:rPr>
          <w:rFonts w:hint="eastAsia" w:ascii="仿宋" w:hAnsi="仿宋" w:eastAsia="仿宋" w:cs="仿宋"/>
          <w:color w:val="222222"/>
          <w:kern w:val="0"/>
          <w:sz w:val="24"/>
          <w:shd w:val="clear" w:color="auto" w:fill="FFFFFF"/>
          <w:lang w:bidi="ar"/>
        </w:rPr>
        <w:fldChar w:fldCharType="separate"/>
      </w:r>
      <w:r>
        <w:rPr>
          <w:rFonts w:hint="eastAsia" w:ascii="仿宋" w:hAnsi="仿宋" w:eastAsia="仿宋" w:cs="仿宋"/>
          <w:color w:val="222222"/>
          <w:kern w:val="0"/>
          <w:sz w:val="24"/>
          <w:shd w:val="clear" w:color="auto" w:fill="FFFFFF"/>
          <w:lang w:bidi="ar"/>
        </w:rPr>
        <w:drawing>
          <wp:inline distT="0" distB="0" distL="114300" distR="114300">
            <wp:extent cx="3488055" cy="2125980"/>
            <wp:effectExtent l="0" t="0" r="17145" b="7620"/>
            <wp:docPr id="7" name="图片 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8"/>
                    <pic:cNvPicPr>
                      <a:picLocks noChangeAspect="1"/>
                    </pic:cNvPicPr>
                  </pic:nvPicPr>
                  <pic:blipFill>
                    <a:blip r:embed="rId12"/>
                    <a:stretch>
                      <a:fillRect/>
                    </a:stretch>
                  </pic:blipFill>
                  <pic:spPr>
                    <a:xfrm>
                      <a:off x="0" y="0"/>
                      <a:ext cx="3488055" cy="2125980"/>
                    </a:xfrm>
                    <a:prstGeom prst="rect">
                      <a:avLst/>
                    </a:prstGeom>
                    <a:noFill/>
                    <a:ln>
                      <a:noFill/>
                    </a:ln>
                  </pic:spPr>
                </pic:pic>
              </a:graphicData>
            </a:graphic>
          </wp:inline>
        </w:drawing>
      </w:r>
      <w:r>
        <w:rPr>
          <w:rFonts w:hint="eastAsia" w:ascii="仿宋" w:hAnsi="仿宋" w:eastAsia="仿宋" w:cs="仿宋"/>
          <w:color w:val="222222"/>
          <w:kern w:val="0"/>
          <w:sz w:val="24"/>
          <w:shd w:val="clear" w:color="auto" w:fill="FFFFFF"/>
          <w:lang w:bidi="ar"/>
        </w:rPr>
        <w:fldChar w:fldCharType="end"/>
      </w:r>
    </w:p>
    <w:p>
      <w:pPr>
        <w:spacing w:line="480" w:lineRule="exact"/>
        <w:ind w:firstLine="560" w:firstLineChars="200"/>
        <w:rPr>
          <w:rStyle w:val="59"/>
          <w:rFonts w:ascii="仿宋" w:hAnsi="仿宋" w:eastAsia="仿宋" w:cs="仿宋"/>
          <w:bCs w:val="0"/>
          <w:color w:val="222222"/>
          <w:sz w:val="28"/>
          <w:szCs w:val="28"/>
          <w:shd w:val="clear" w:color="auto" w:fill="FFFFFF"/>
        </w:rPr>
      </w:pPr>
      <w:r>
        <w:rPr>
          <w:rStyle w:val="59"/>
          <w:rFonts w:hint="eastAsia" w:ascii="仿宋" w:hAnsi="仿宋" w:eastAsia="仿宋" w:cs="仿宋"/>
          <w:bCs w:val="0"/>
          <w:color w:val="222222"/>
          <w:sz w:val="28"/>
          <w:szCs w:val="28"/>
          <w:shd w:val="clear" w:color="auto" w:fill="FFFFFF"/>
        </w:rPr>
        <w:fldChar w:fldCharType="begin"/>
      </w:r>
      <w:r>
        <w:rPr>
          <w:rStyle w:val="59"/>
          <w:rFonts w:hint="eastAsia" w:ascii="仿宋" w:hAnsi="仿宋" w:eastAsia="仿宋" w:cs="仿宋"/>
          <w:bCs w:val="0"/>
          <w:color w:val="222222"/>
          <w:sz w:val="28"/>
          <w:szCs w:val="28"/>
          <w:shd w:val="clear" w:color="auto" w:fill="FFFFFF"/>
        </w:rPr>
        <w:instrText xml:space="preserve"> = 2 \* GB3 \* MERGEFORMAT </w:instrText>
      </w:r>
      <w:r>
        <w:rPr>
          <w:rStyle w:val="59"/>
          <w:rFonts w:hint="eastAsia" w:ascii="仿宋" w:hAnsi="仿宋" w:eastAsia="仿宋" w:cs="仿宋"/>
          <w:bCs w:val="0"/>
          <w:color w:val="222222"/>
          <w:sz w:val="28"/>
          <w:szCs w:val="28"/>
          <w:shd w:val="clear" w:color="auto" w:fill="FFFFFF"/>
        </w:rPr>
        <w:fldChar w:fldCharType="separate"/>
      </w:r>
      <w:r>
        <w:rPr>
          <w:rFonts w:hint="eastAsia" w:ascii="仿宋" w:hAnsi="仿宋" w:eastAsia="仿宋" w:cs="仿宋"/>
        </w:rPr>
        <w:t>②</w:t>
      </w:r>
      <w:r>
        <w:rPr>
          <w:rStyle w:val="59"/>
          <w:rFonts w:hint="eastAsia" w:ascii="仿宋" w:hAnsi="仿宋" w:eastAsia="仿宋" w:cs="仿宋"/>
          <w:bCs w:val="0"/>
          <w:color w:val="222222"/>
          <w:sz w:val="28"/>
          <w:szCs w:val="28"/>
          <w:shd w:val="clear" w:color="auto" w:fill="FFFFFF"/>
        </w:rPr>
        <w:fldChar w:fldCharType="end"/>
      </w:r>
      <w:r>
        <w:rPr>
          <w:rStyle w:val="59"/>
          <w:rFonts w:hint="eastAsia" w:ascii="仿宋" w:hAnsi="仿宋" w:eastAsia="仿宋" w:cs="仿宋"/>
          <w:bCs w:val="0"/>
          <w:color w:val="222222"/>
          <w:sz w:val="28"/>
          <w:szCs w:val="28"/>
          <w:shd w:val="clear" w:color="auto" w:fill="FFFFFF"/>
        </w:rPr>
        <w:t>食品工业占比越来越重</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t>从行业产值结构上看，食品工业和纺织工业是农产品加工业中的两大主要行业，多年来两者产值合计占农产品加工业产值的比重超过了70%。改革开放以来，食品工业在农产品加工业中的比重明显上升，纺织工业比重显著下降。2005年纺织工业占比略高于食品工业，到2017年食品工业占比则高达61%，成为农产品加工业中的主体部分。</w:t>
      </w:r>
    </w:p>
    <w:p>
      <w:pPr>
        <w:spacing w:line="480" w:lineRule="exact"/>
        <w:ind w:firstLine="560" w:firstLineChars="200"/>
        <w:rPr>
          <w:rStyle w:val="59"/>
          <w:rFonts w:ascii="仿宋" w:hAnsi="仿宋" w:eastAsia="仿宋" w:cs="仿宋"/>
          <w:bCs w:val="0"/>
          <w:color w:val="222222"/>
          <w:sz w:val="28"/>
          <w:szCs w:val="28"/>
          <w:shd w:val="clear" w:color="auto" w:fill="FFFFFF"/>
        </w:rPr>
      </w:pPr>
      <w:r>
        <w:rPr>
          <w:rStyle w:val="59"/>
          <w:rFonts w:hint="eastAsia" w:ascii="仿宋" w:hAnsi="仿宋" w:eastAsia="仿宋" w:cs="仿宋"/>
          <w:bCs w:val="0"/>
          <w:color w:val="222222"/>
          <w:sz w:val="28"/>
          <w:szCs w:val="28"/>
          <w:shd w:val="clear" w:color="auto" w:fill="FFFFFF"/>
        </w:rPr>
        <w:fldChar w:fldCharType="begin"/>
      </w:r>
      <w:r>
        <w:rPr>
          <w:rStyle w:val="59"/>
          <w:rFonts w:hint="eastAsia" w:ascii="仿宋" w:hAnsi="仿宋" w:eastAsia="仿宋" w:cs="仿宋"/>
          <w:bCs w:val="0"/>
          <w:color w:val="222222"/>
          <w:sz w:val="28"/>
          <w:szCs w:val="28"/>
          <w:shd w:val="clear" w:color="auto" w:fill="FFFFFF"/>
        </w:rPr>
        <w:instrText xml:space="preserve"> = 3 \* GB3 \* MERGEFORMAT </w:instrText>
      </w:r>
      <w:r>
        <w:rPr>
          <w:rStyle w:val="59"/>
          <w:rFonts w:hint="eastAsia" w:ascii="仿宋" w:hAnsi="仿宋" w:eastAsia="仿宋" w:cs="仿宋"/>
          <w:bCs w:val="0"/>
          <w:color w:val="222222"/>
          <w:sz w:val="28"/>
          <w:szCs w:val="28"/>
          <w:shd w:val="clear" w:color="auto" w:fill="FFFFFF"/>
        </w:rPr>
        <w:fldChar w:fldCharType="separate"/>
      </w:r>
      <w:r>
        <w:rPr>
          <w:rFonts w:hint="eastAsia" w:ascii="仿宋" w:hAnsi="仿宋" w:eastAsia="仿宋" w:cs="仿宋"/>
        </w:rPr>
        <w:t>③</w:t>
      </w:r>
      <w:r>
        <w:rPr>
          <w:rStyle w:val="59"/>
          <w:rFonts w:hint="eastAsia" w:ascii="仿宋" w:hAnsi="仿宋" w:eastAsia="仿宋" w:cs="仿宋"/>
          <w:bCs w:val="0"/>
          <w:color w:val="222222"/>
          <w:sz w:val="28"/>
          <w:szCs w:val="28"/>
          <w:shd w:val="clear" w:color="auto" w:fill="FFFFFF"/>
        </w:rPr>
        <w:fldChar w:fldCharType="end"/>
      </w:r>
      <w:r>
        <w:rPr>
          <w:rStyle w:val="59"/>
          <w:rFonts w:hint="eastAsia" w:ascii="仿宋" w:hAnsi="仿宋" w:eastAsia="仿宋" w:cs="仿宋"/>
          <w:bCs w:val="0"/>
          <w:color w:val="222222"/>
          <w:sz w:val="28"/>
          <w:szCs w:val="28"/>
          <w:shd w:val="clear" w:color="auto" w:fill="FFFFFF"/>
        </w:rPr>
        <w:t>区域结构差距逐渐改善</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t>受社会经济发展水平的直接影响，我国东部、中部、西部及东北地区农产品加工业的发展水平差异较大，近年来在逐步改善。2005 年，东、中、西及东北地区农产品加工业主营业务收入之比为72.4：12.6：9.9：5.1，东部地区占全国的绝大部分。到2016年，这一比值变为50.4：26.3：16.3：7.0，东部地区占全国的比例比2005年下降了20多个百分点，中西部及东北地区农产品加工业主营业务收入总量与东部地区差距基本平衡。</w:t>
      </w:r>
    </w:p>
    <w:p>
      <w:pPr>
        <w:spacing w:line="480" w:lineRule="exact"/>
        <w:ind w:firstLine="560" w:firstLineChars="200"/>
        <w:rPr>
          <w:rStyle w:val="59"/>
          <w:rFonts w:ascii="仿宋" w:hAnsi="仿宋" w:eastAsia="仿宋" w:cs="仿宋"/>
          <w:bCs w:val="0"/>
          <w:color w:val="222222"/>
          <w:sz w:val="28"/>
          <w:szCs w:val="28"/>
          <w:shd w:val="clear" w:color="auto" w:fill="FFFFFF"/>
        </w:rPr>
      </w:pPr>
      <w:r>
        <w:rPr>
          <w:rStyle w:val="59"/>
          <w:rFonts w:hint="eastAsia" w:ascii="仿宋" w:hAnsi="仿宋" w:eastAsia="仿宋" w:cs="仿宋"/>
          <w:bCs w:val="0"/>
          <w:color w:val="222222"/>
          <w:sz w:val="28"/>
          <w:szCs w:val="28"/>
          <w:shd w:val="clear" w:color="auto" w:fill="FFFFFF"/>
        </w:rPr>
        <w:fldChar w:fldCharType="begin"/>
      </w:r>
      <w:r>
        <w:rPr>
          <w:rStyle w:val="59"/>
          <w:rFonts w:hint="eastAsia" w:ascii="仿宋" w:hAnsi="仿宋" w:eastAsia="仿宋" w:cs="仿宋"/>
          <w:bCs w:val="0"/>
          <w:color w:val="222222"/>
          <w:sz w:val="28"/>
          <w:szCs w:val="28"/>
          <w:shd w:val="clear" w:color="auto" w:fill="FFFFFF"/>
        </w:rPr>
        <w:instrText xml:space="preserve"> = 4 \* GB3 \* MERGEFORMAT </w:instrText>
      </w:r>
      <w:r>
        <w:rPr>
          <w:rStyle w:val="59"/>
          <w:rFonts w:hint="eastAsia" w:ascii="仿宋" w:hAnsi="仿宋" w:eastAsia="仿宋" w:cs="仿宋"/>
          <w:bCs w:val="0"/>
          <w:color w:val="222222"/>
          <w:sz w:val="28"/>
          <w:szCs w:val="28"/>
          <w:shd w:val="clear" w:color="auto" w:fill="FFFFFF"/>
        </w:rPr>
        <w:fldChar w:fldCharType="separate"/>
      </w:r>
      <w:r>
        <w:rPr>
          <w:rFonts w:hint="eastAsia" w:ascii="仿宋" w:hAnsi="仿宋" w:eastAsia="仿宋" w:cs="仿宋"/>
        </w:rPr>
        <w:t>④</w:t>
      </w:r>
      <w:r>
        <w:rPr>
          <w:rStyle w:val="59"/>
          <w:rFonts w:hint="eastAsia" w:ascii="仿宋" w:hAnsi="仿宋" w:eastAsia="仿宋" w:cs="仿宋"/>
          <w:bCs w:val="0"/>
          <w:color w:val="222222"/>
          <w:sz w:val="28"/>
          <w:szCs w:val="28"/>
          <w:shd w:val="clear" w:color="auto" w:fill="FFFFFF"/>
        </w:rPr>
        <w:fldChar w:fldCharType="end"/>
      </w:r>
      <w:r>
        <w:rPr>
          <w:rStyle w:val="59"/>
          <w:rFonts w:hint="eastAsia" w:ascii="仿宋" w:hAnsi="仿宋" w:eastAsia="仿宋" w:cs="仿宋"/>
          <w:bCs w:val="0"/>
          <w:color w:val="222222"/>
          <w:sz w:val="28"/>
          <w:szCs w:val="28"/>
          <w:shd w:val="clear" w:color="auto" w:fill="FFFFFF"/>
        </w:rPr>
        <w:t>向主产区聚焦趋势明显</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t>凭借原料资源和传统饮食文化优势，一些具有浓厚区域特色的农产品加工业聚集区已经形成。</w:t>
      </w:r>
    </w:p>
    <w:p>
      <w:pPr>
        <w:spacing w:line="480" w:lineRule="exact"/>
        <w:ind w:firstLine="560" w:firstLineChars="200"/>
        <w:rPr>
          <w:rStyle w:val="59"/>
          <w:rFonts w:ascii="仿宋" w:hAnsi="仿宋" w:eastAsia="仿宋" w:cs="仿宋"/>
          <w:bCs w:val="0"/>
          <w:color w:val="222222"/>
          <w:sz w:val="28"/>
          <w:szCs w:val="28"/>
          <w:shd w:val="clear" w:color="auto" w:fill="FFFFFF"/>
        </w:rPr>
      </w:pPr>
      <w:r>
        <w:rPr>
          <w:rStyle w:val="59"/>
          <w:rFonts w:hint="eastAsia" w:ascii="仿宋" w:hAnsi="仿宋" w:eastAsia="仿宋" w:cs="仿宋"/>
          <w:bCs w:val="0"/>
          <w:color w:val="222222"/>
          <w:sz w:val="28"/>
          <w:szCs w:val="28"/>
          <w:shd w:val="clear" w:color="auto" w:fill="FFFFFF"/>
        </w:rPr>
        <w:fldChar w:fldCharType="begin"/>
      </w:r>
      <w:r>
        <w:rPr>
          <w:rStyle w:val="59"/>
          <w:rFonts w:hint="eastAsia" w:ascii="仿宋" w:hAnsi="仿宋" w:eastAsia="仿宋" w:cs="仿宋"/>
          <w:bCs w:val="0"/>
          <w:color w:val="222222"/>
          <w:sz w:val="28"/>
          <w:szCs w:val="28"/>
          <w:shd w:val="clear" w:color="auto" w:fill="FFFFFF"/>
        </w:rPr>
        <w:instrText xml:space="preserve"> = 5 \* GB3 \* MERGEFORMAT </w:instrText>
      </w:r>
      <w:r>
        <w:rPr>
          <w:rStyle w:val="59"/>
          <w:rFonts w:hint="eastAsia" w:ascii="仿宋" w:hAnsi="仿宋" w:eastAsia="仿宋" w:cs="仿宋"/>
          <w:bCs w:val="0"/>
          <w:color w:val="222222"/>
          <w:sz w:val="28"/>
          <w:szCs w:val="28"/>
          <w:shd w:val="clear" w:color="auto" w:fill="FFFFFF"/>
        </w:rPr>
        <w:fldChar w:fldCharType="separate"/>
      </w:r>
      <w:r>
        <w:rPr>
          <w:rFonts w:hint="eastAsia" w:ascii="仿宋" w:hAnsi="仿宋" w:eastAsia="仿宋" w:cs="仿宋"/>
        </w:rPr>
        <w:t>⑤</w:t>
      </w:r>
      <w:r>
        <w:rPr>
          <w:rStyle w:val="59"/>
          <w:rFonts w:hint="eastAsia" w:ascii="仿宋" w:hAnsi="仿宋" w:eastAsia="仿宋" w:cs="仿宋"/>
          <w:bCs w:val="0"/>
          <w:color w:val="222222"/>
          <w:sz w:val="28"/>
          <w:szCs w:val="28"/>
          <w:shd w:val="clear" w:color="auto" w:fill="FFFFFF"/>
        </w:rPr>
        <w:fldChar w:fldCharType="end"/>
      </w:r>
      <w:r>
        <w:rPr>
          <w:rStyle w:val="59"/>
          <w:rFonts w:hint="eastAsia" w:ascii="仿宋" w:hAnsi="仿宋" w:eastAsia="仿宋" w:cs="仿宋"/>
          <w:bCs w:val="0"/>
          <w:color w:val="222222"/>
          <w:sz w:val="28"/>
          <w:szCs w:val="28"/>
          <w:shd w:val="clear" w:color="auto" w:fill="FFFFFF"/>
        </w:rPr>
        <w:t>企业数量多、规模小的特点十分突出</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t>我国农产品加工企业约有50万家，其中规模以上企业达到 82000多家，但其中主要是中小型企业，大型企业极少，中小型企业数量占全部规模以上企业数量的比值达到97.9%。2016年，年主营业务收入达到10亿元及以上的企业有2726家，约占规模以上企业总数的3%，年主营业务收入达到100亿元的企业有94家，约占规模以上企业数的千分之一。</w:t>
      </w:r>
    </w:p>
    <w:p>
      <w:pPr>
        <w:pStyle w:val="2"/>
        <w:keepNext w:val="0"/>
        <w:keepLines w:val="0"/>
        <w:widowControl/>
        <w:shd w:val="clear" w:color="auto" w:fill="FFFFFF"/>
        <w:spacing w:before="0" w:after="0" w:line="480" w:lineRule="exact"/>
        <w:ind w:firstLine="560" w:firstLineChars="200"/>
        <w:rPr>
          <w:rFonts w:ascii="仿宋" w:hAnsi="仿宋" w:eastAsia="仿宋" w:cs="仿宋"/>
          <w:color w:val="222222"/>
          <w:sz w:val="28"/>
          <w:szCs w:val="28"/>
        </w:rPr>
      </w:pPr>
      <w:r>
        <w:rPr>
          <w:rStyle w:val="59"/>
          <w:rFonts w:hint="eastAsia" w:ascii="仿宋" w:hAnsi="仿宋" w:eastAsia="仿宋" w:cs="仿宋"/>
          <w:b/>
          <w:color w:val="222222"/>
          <w:sz w:val="28"/>
          <w:szCs w:val="28"/>
          <w:shd w:val="clear" w:color="auto" w:fill="FFFFFF"/>
        </w:rPr>
        <w:t>（5）农产品加工发展趋势</w:t>
      </w:r>
    </w:p>
    <w:p>
      <w:pPr>
        <w:spacing w:line="480" w:lineRule="exact"/>
        <w:ind w:firstLine="560" w:firstLineChars="200"/>
        <w:rPr>
          <w:rStyle w:val="59"/>
          <w:rFonts w:ascii="仿宋" w:hAnsi="仿宋" w:eastAsia="仿宋" w:cs="仿宋"/>
          <w:bCs w:val="0"/>
          <w:color w:val="222222"/>
          <w:sz w:val="28"/>
          <w:szCs w:val="28"/>
          <w:shd w:val="clear" w:color="auto" w:fill="FFFFFF"/>
        </w:rPr>
      </w:pPr>
      <w:r>
        <w:rPr>
          <w:rStyle w:val="59"/>
          <w:rFonts w:hint="eastAsia" w:ascii="仿宋" w:hAnsi="仿宋" w:eastAsia="仿宋" w:cs="仿宋"/>
          <w:bCs w:val="0"/>
          <w:color w:val="222222"/>
          <w:sz w:val="28"/>
          <w:szCs w:val="28"/>
          <w:shd w:val="clear" w:color="auto" w:fill="FFFFFF"/>
        </w:rPr>
        <w:fldChar w:fldCharType="begin"/>
      </w:r>
      <w:r>
        <w:rPr>
          <w:rStyle w:val="59"/>
          <w:rFonts w:hint="eastAsia" w:ascii="仿宋" w:hAnsi="仿宋" w:eastAsia="仿宋" w:cs="仿宋"/>
          <w:bCs w:val="0"/>
          <w:color w:val="222222"/>
          <w:sz w:val="28"/>
          <w:szCs w:val="28"/>
          <w:shd w:val="clear" w:color="auto" w:fill="FFFFFF"/>
        </w:rPr>
        <w:instrText xml:space="preserve"> = 1 \* GB3 \* MERGEFORMAT </w:instrText>
      </w:r>
      <w:r>
        <w:rPr>
          <w:rStyle w:val="59"/>
          <w:rFonts w:hint="eastAsia" w:ascii="仿宋" w:hAnsi="仿宋" w:eastAsia="仿宋" w:cs="仿宋"/>
          <w:bCs w:val="0"/>
          <w:color w:val="222222"/>
          <w:sz w:val="28"/>
          <w:szCs w:val="28"/>
          <w:shd w:val="clear" w:color="auto" w:fill="FFFFFF"/>
        </w:rPr>
        <w:fldChar w:fldCharType="separate"/>
      </w:r>
      <w:r>
        <w:rPr>
          <w:rFonts w:hint="eastAsia" w:ascii="仿宋" w:hAnsi="仿宋" w:eastAsia="仿宋" w:cs="仿宋"/>
        </w:rPr>
        <w:t>①</w:t>
      </w:r>
      <w:r>
        <w:rPr>
          <w:rStyle w:val="59"/>
          <w:rFonts w:hint="eastAsia" w:ascii="仿宋" w:hAnsi="仿宋" w:eastAsia="仿宋" w:cs="仿宋"/>
          <w:bCs w:val="0"/>
          <w:color w:val="222222"/>
          <w:sz w:val="28"/>
          <w:szCs w:val="28"/>
          <w:shd w:val="clear" w:color="auto" w:fill="FFFFFF"/>
        </w:rPr>
        <w:fldChar w:fldCharType="end"/>
      </w:r>
      <w:r>
        <w:rPr>
          <w:rStyle w:val="59"/>
          <w:rFonts w:hint="eastAsia" w:ascii="仿宋" w:hAnsi="仿宋" w:eastAsia="仿宋" w:cs="仿宋"/>
          <w:bCs w:val="0"/>
          <w:color w:val="222222"/>
          <w:sz w:val="28"/>
          <w:szCs w:val="28"/>
          <w:shd w:val="clear" w:color="auto" w:fill="FFFFFF"/>
        </w:rPr>
        <w:t>政策引导行业稳健发展</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t>随着我国经济社会水平的不断提高和现代农业的深入推进，农产品加工的作用日益凸显，越来越得到重视。国家相继出台了多项重要政策引导农产品加工业的健康稳定发展。2015年、2016年国务院陆续出台了《国务院办公厅关于推进农村一二三产业融合发展的指导意见》（国办发〔2015〕93号文）和《国务院办公厅关于进一步促进农产品加工业发展的意见》（国办发〔2016〕93号），阐明了农产品加工业发展的方向和重点。2019年中央一号文件《中共中央 国务院关于坚持农业农村优先发展做好“三农”工作的若干意见》明确指出要“大力发展农产品加工业”，以“粮头食尾”“农头工尾”为抓手，支持主产区依托县域形成农产品加工产业集群。这些方针政策对行业发展起到了清晰的引导作用。</w:t>
      </w:r>
    </w:p>
    <w:p>
      <w:pPr>
        <w:spacing w:line="480" w:lineRule="exact"/>
        <w:ind w:firstLine="560" w:firstLineChars="200"/>
        <w:rPr>
          <w:rStyle w:val="59"/>
          <w:rFonts w:ascii="仿宋" w:hAnsi="仿宋" w:eastAsia="仿宋" w:cs="仿宋"/>
          <w:color w:val="222222"/>
          <w:sz w:val="28"/>
          <w:szCs w:val="28"/>
          <w:shd w:val="clear" w:color="auto" w:fill="FFFFFF"/>
        </w:rPr>
      </w:pPr>
      <w:r>
        <w:rPr>
          <w:rFonts w:hint="eastAsia" w:ascii="仿宋" w:hAnsi="仿宋" w:eastAsia="仿宋" w:cs="仿宋"/>
          <w:b/>
          <w:bCs/>
          <w:color w:val="222222"/>
          <w:sz w:val="28"/>
          <w:szCs w:val="28"/>
        </w:rPr>
        <w:fldChar w:fldCharType="begin"/>
      </w:r>
      <w:r>
        <w:rPr>
          <w:rFonts w:hint="eastAsia" w:ascii="仿宋" w:hAnsi="仿宋" w:eastAsia="仿宋" w:cs="仿宋"/>
          <w:b/>
          <w:bCs/>
          <w:color w:val="222222"/>
          <w:sz w:val="28"/>
          <w:szCs w:val="28"/>
        </w:rPr>
        <w:instrText xml:space="preserve"> = 2 \* GB3 \* MERGEFORMAT </w:instrText>
      </w:r>
      <w:r>
        <w:rPr>
          <w:rFonts w:hint="eastAsia" w:ascii="仿宋" w:hAnsi="仿宋" w:eastAsia="仿宋" w:cs="仿宋"/>
          <w:b/>
          <w:bCs/>
          <w:color w:val="222222"/>
          <w:sz w:val="28"/>
          <w:szCs w:val="28"/>
        </w:rPr>
        <w:fldChar w:fldCharType="separate"/>
      </w:r>
      <w:r>
        <w:rPr>
          <w:rFonts w:hint="eastAsia" w:ascii="仿宋" w:hAnsi="仿宋" w:eastAsia="仿宋" w:cs="仿宋"/>
        </w:rPr>
        <w:t>②</w:t>
      </w:r>
      <w:r>
        <w:rPr>
          <w:rFonts w:hint="eastAsia" w:ascii="仿宋" w:hAnsi="仿宋" w:eastAsia="仿宋" w:cs="仿宋"/>
          <w:b/>
          <w:bCs/>
          <w:color w:val="222222"/>
          <w:sz w:val="28"/>
          <w:szCs w:val="28"/>
        </w:rPr>
        <w:fldChar w:fldCharType="end"/>
      </w:r>
      <w:r>
        <w:rPr>
          <w:rStyle w:val="59"/>
          <w:rFonts w:hint="eastAsia" w:ascii="仿宋" w:hAnsi="仿宋" w:eastAsia="仿宋" w:cs="仿宋"/>
          <w:color w:val="222222"/>
          <w:sz w:val="28"/>
          <w:szCs w:val="28"/>
          <w:shd w:val="clear" w:color="auto" w:fill="FFFFFF"/>
        </w:rPr>
        <w:t>以营养健康体验为特色的食品工业将是农产品加工业的重头戏</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t>随着我国现代化、城镇化的不断推进，消费者结构和消费结构都发生了巨大变化，食品工业在农产品加工业中的占比会进一步提高，而食品工业中营养健康、定制体验是未来的新特点。</w:t>
      </w:r>
    </w:p>
    <w:p>
      <w:pPr>
        <w:spacing w:line="480" w:lineRule="exact"/>
        <w:ind w:firstLine="560" w:firstLineChars="200"/>
        <w:rPr>
          <w:rStyle w:val="59"/>
          <w:rFonts w:ascii="仿宋" w:hAnsi="仿宋" w:eastAsia="仿宋" w:cs="仿宋"/>
          <w:bCs w:val="0"/>
          <w:color w:val="222222"/>
          <w:sz w:val="28"/>
          <w:szCs w:val="28"/>
          <w:shd w:val="clear" w:color="auto" w:fill="FFFFFF"/>
        </w:rPr>
      </w:pPr>
      <w:r>
        <w:rPr>
          <w:rStyle w:val="59"/>
          <w:rFonts w:hint="eastAsia" w:ascii="仿宋" w:hAnsi="仿宋" w:eastAsia="仿宋" w:cs="仿宋"/>
          <w:bCs w:val="0"/>
          <w:color w:val="222222"/>
          <w:sz w:val="28"/>
          <w:szCs w:val="28"/>
          <w:shd w:val="clear" w:color="auto" w:fill="FFFFFF"/>
        </w:rPr>
        <w:fldChar w:fldCharType="begin"/>
      </w:r>
      <w:r>
        <w:rPr>
          <w:rStyle w:val="59"/>
          <w:rFonts w:hint="eastAsia" w:ascii="仿宋" w:hAnsi="仿宋" w:eastAsia="仿宋" w:cs="仿宋"/>
          <w:bCs w:val="0"/>
          <w:color w:val="222222"/>
          <w:sz w:val="28"/>
          <w:szCs w:val="28"/>
          <w:shd w:val="clear" w:color="auto" w:fill="FFFFFF"/>
        </w:rPr>
        <w:instrText xml:space="preserve"> = 3 \* GB3 \* MERGEFORMAT </w:instrText>
      </w:r>
      <w:r>
        <w:rPr>
          <w:rStyle w:val="59"/>
          <w:rFonts w:hint="eastAsia" w:ascii="仿宋" w:hAnsi="仿宋" w:eastAsia="仿宋" w:cs="仿宋"/>
          <w:bCs w:val="0"/>
          <w:color w:val="222222"/>
          <w:sz w:val="28"/>
          <w:szCs w:val="28"/>
          <w:shd w:val="clear" w:color="auto" w:fill="FFFFFF"/>
        </w:rPr>
        <w:fldChar w:fldCharType="separate"/>
      </w:r>
      <w:r>
        <w:rPr>
          <w:rFonts w:hint="eastAsia" w:ascii="仿宋" w:hAnsi="仿宋" w:eastAsia="仿宋" w:cs="仿宋"/>
        </w:rPr>
        <w:t>③</w:t>
      </w:r>
      <w:r>
        <w:rPr>
          <w:rStyle w:val="59"/>
          <w:rFonts w:hint="eastAsia" w:ascii="仿宋" w:hAnsi="仿宋" w:eastAsia="仿宋" w:cs="仿宋"/>
          <w:bCs w:val="0"/>
          <w:color w:val="222222"/>
          <w:sz w:val="28"/>
          <w:szCs w:val="28"/>
          <w:shd w:val="clear" w:color="auto" w:fill="FFFFFF"/>
        </w:rPr>
        <w:fldChar w:fldCharType="end"/>
      </w:r>
      <w:r>
        <w:rPr>
          <w:rStyle w:val="59"/>
          <w:rFonts w:hint="eastAsia" w:ascii="仿宋" w:hAnsi="仿宋" w:eastAsia="仿宋" w:cs="仿宋"/>
          <w:bCs w:val="0"/>
          <w:color w:val="222222"/>
          <w:sz w:val="28"/>
          <w:szCs w:val="28"/>
          <w:shd w:val="clear" w:color="auto" w:fill="FFFFFF"/>
        </w:rPr>
        <w:t>智能化助推我国农产品加工装备产业跨越发展</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t>农产品加工机械设备是农机装备的重要组成部分，是推进农产品加工业发展的重要物质装备支撑。多年以来我国农产品加工装备是农产品加工行业的短板。近些年，经过不懈努力，我国农产品加工装备产业有了明显进步。</w:t>
      </w:r>
    </w:p>
    <w:p>
      <w:pPr>
        <w:pStyle w:val="48"/>
        <w:shd w:val="clear" w:color="auto" w:fill="FFFFFF"/>
        <w:spacing w:before="0" w:beforeAutospacing="0" w:after="0" w:afterAutospacing="0" w:line="480" w:lineRule="exact"/>
        <w:ind w:firstLine="560" w:firstLineChars="200"/>
        <w:rPr>
          <w:rFonts w:ascii="仿宋" w:hAnsi="仿宋" w:eastAsia="仿宋" w:cs="仿宋"/>
          <w:color w:val="222222"/>
          <w:sz w:val="28"/>
          <w:szCs w:val="28"/>
        </w:rPr>
      </w:pPr>
      <w:r>
        <w:rPr>
          <w:rFonts w:hint="eastAsia" w:ascii="仿宋" w:hAnsi="仿宋" w:eastAsia="仿宋" w:cs="仿宋"/>
          <w:color w:val="222222"/>
          <w:sz w:val="28"/>
          <w:szCs w:val="28"/>
          <w:shd w:val="clear" w:color="auto" w:fill="FFFFFF"/>
        </w:rPr>
        <w:t>（6）</w:t>
      </w:r>
      <w:r>
        <w:rPr>
          <w:rStyle w:val="59"/>
          <w:rFonts w:hint="eastAsia" w:ascii="仿宋" w:hAnsi="仿宋" w:eastAsia="仿宋" w:cs="仿宋"/>
          <w:color w:val="222222"/>
          <w:sz w:val="28"/>
          <w:szCs w:val="28"/>
          <w:shd w:val="clear" w:color="auto" w:fill="FFFFFF"/>
        </w:rPr>
        <w:t>农产品加工业迎来资本“拥抱”</w:t>
      </w:r>
    </w:p>
    <w:p>
      <w:pPr>
        <w:pStyle w:val="48"/>
        <w:shd w:val="clear" w:color="auto" w:fill="FFFFFF"/>
        <w:spacing w:before="0" w:beforeAutospacing="0" w:after="0" w:afterAutospacing="0" w:line="480" w:lineRule="exact"/>
        <w:ind w:firstLine="560" w:firstLineChars="200"/>
        <w:rPr>
          <w:rFonts w:ascii="仿宋" w:hAnsi="仿宋" w:eastAsia="仿宋" w:cs="仿宋"/>
          <w:color w:val="222222"/>
          <w:sz w:val="28"/>
          <w:szCs w:val="28"/>
        </w:rPr>
      </w:pPr>
      <w:r>
        <w:rPr>
          <w:rFonts w:hint="eastAsia" w:ascii="仿宋" w:hAnsi="仿宋" w:eastAsia="仿宋" w:cs="仿宋"/>
          <w:color w:val="222222"/>
          <w:sz w:val="28"/>
          <w:szCs w:val="28"/>
          <w:shd w:val="clear" w:color="auto" w:fill="FFFFFF"/>
        </w:rPr>
        <w:t>2016年，国务院发文表示，促进农产品加工业发展 支持符合条件加工企业上市融资。并且鼓励银行业金融机构加大信贷支持力度，为农产品生产、收购、加工、流通和仓储等各环节提供多元化金融服务；并且支持符合条件的农产品加工企业上市融资、发行债券。积极推广小额信贷保证保险等新型险种，鼓励农业担保与农业产业链加速融合，探索开展农产品质量安全保险。</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Cs w:val="0"/>
          <w:color w:val="222222"/>
          <w:sz w:val="28"/>
          <w:szCs w:val="28"/>
          <w:shd w:val="clear" w:color="auto" w:fill="FFFFFF"/>
        </w:rPr>
        <w:t>（7）《2020年乡村产业工作要点》</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fldChar w:fldCharType="begin"/>
      </w:r>
      <w:r>
        <w:rPr>
          <w:rStyle w:val="59"/>
          <w:rFonts w:hint="eastAsia" w:ascii="仿宋" w:hAnsi="仿宋" w:eastAsia="仿宋" w:cs="仿宋"/>
          <w:b w:val="0"/>
          <w:color w:val="222222"/>
          <w:sz w:val="28"/>
          <w:szCs w:val="28"/>
          <w:shd w:val="clear" w:color="auto" w:fill="FFFFFF"/>
        </w:rPr>
        <w:instrText xml:space="preserve"> = 1 \* GB3 \* MERGEFORMAT </w:instrText>
      </w:r>
      <w:r>
        <w:rPr>
          <w:rStyle w:val="59"/>
          <w:rFonts w:hint="eastAsia" w:ascii="仿宋" w:hAnsi="仿宋" w:eastAsia="仿宋" w:cs="仿宋"/>
          <w:b w:val="0"/>
          <w:color w:val="222222"/>
          <w:sz w:val="28"/>
          <w:szCs w:val="28"/>
          <w:shd w:val="clear" w:color="auto" w:fill="FFFFFF"/>
        </w:rPr>
        <w:fldChar w:fldCharType="separate"/>
      </w:r>
      <w:r>
        <w:rPr>
          <w:rFonts w:hint="eastAsia" w:ascii="仿宋" w:hAnsi="仿宋" w:eastAsia="仿宋" w:cs="仿宋"/>
        </w:rPr>
        <w:t>①</w:t>
      </w:r>
      <w:r>
        <w:rPr>
          <w:rStyle w:val="59"/>
          <w:rFonts w:hint="eastAsia" w:ascii="仿宋" w:hAnsi="仿宋" w:eastAsia="仿宋" w:cs="仿宋"/>
          <w:b w:val="0"/>
          <w:color w:val="222222"/>
          <w:sz w:val="28"/>
          <w:szCs w:val="28"/>
          <w:shd w:val="clear" w:color="auto" w:fill="FFFFFF"/>
        </w:rPr>
        <w:fldChar w:fldCharType="end"/>
      </w:r>
      <w:r>
        <w:rPr>
          <w:rStyle w:val="59"/>
          <w:rFonts w:hint="eastAsia" w:ascii="仿宋" w:hAnsi="仿宋" w:eastAsia="仿宋" w:cs="仿宋"/>
          <w:b w:val="0"/>
          <w:color w:val="222222"/>
          <w:sz w:val="28"/>
          <w:szCs w:val="28"/>
          <w:shd w:val="clear" w:color="auto" w:fill="FFFFFF"/>
        </w:rPr>
        <w:t>积极发展农产品初加工</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t>鼓励和支持农民合作社和家庭农场等新型经营主体发展保鲜、储藏、分级、包装等设施建设，促进农产品顺利进入终端市场和后续加工环节。</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fldChar w:fldCharType="begin"/>
      </w:r>
      <w:r>
        <w:rPr>
          <w:rStyle w:val="59"/>
          <w:rFonts w:hint="eastAsia" w:ascii="仿宋" w:hAnsi="仿宋" w:eastAsia="仿宋" w:cs="仿宋"/>
          <w:b w:val="0"/>
          <w:color w:val="222222"/>
          <w:sz w:val="28"/>
          <w:szCs w:val="28"/>
          <w:shd w:val="clear" w:color="auto" w:fill="FFFFFF"/>
        </w:rPr>
        <w:instrText xml:space="preserve"> = 2 \* GB3 \* MERGEFORMAT </w:instrText>
      </w:r>
      <w:r>
        <w:rPr>
          <w:rStyle w:val="59"/>
          <w:rFonts w:hint="eastAsia" w:ascii="仿宋" w:hAnsi="仿宋" w:eastAsia="仿宋" w:cs="仿宋"/>
          <w:b w:val="0"/>
          <w:color w:val="222222"/>
          <w:sz w:val="28"/>
          <w:szCs w:val="28"/>
          <w:shd w:val="clear" w:color="auto" w:fill="FFFFFF"/>
        </w:rPr>
        <w:fldChar w:fldCharType="separate"/>
      </w:r>
      <w:r>
        <w:rPr>
          <w:rFonts w:hint="eastAsia" w:ascii="仿宋" w:hAnsi="仿宋" w:eastAsia="仿宋" w:cs="仿宋"/>
        </w:rPr>
        <w:t>②</w:t>
      </w:r>
      <w:r>
        <w:rPr>
          <w:rStyle w:val="59"/>
          <w:rFonts w:hint="eastAsia" w:ascii="仿宋" w:hAnsi="仿宋" w:eastAsia="仿宋" w:cs="仿宋"/>
          <w:b w:val="0"/>
          <w:color w:val="222222"/>
          <w:sz w:val="28"/>
          <w:szCs w:val="28"/>
          <w:shd w:val="clear" w:color="auto" w:fill="FFFFFF"/>
        </w:rPr>
        <w:fldChar w:fldCharType="end"/>
      </w:r>
      <w:r>
        <w:rPr>
          <w:rStyle w:val="59"/>
          <w:rFonts w:hint="eastAsia" w:ascii="仿宋" w:hAnsi="仿宋" w:eastAsia="仿宋" w:cs="仿宋"/>
          <w:b w:val="0"/>
          <w:color w:val="222222"/>
          <w:sz w:val="28"/>
          <w:szCs w:val="28"/>
          <w:shd w:val="clear" w:color="auto" w:fill="FFFFFF"/>
        </w:rPr>
        <w:t>发展农产品精深加工</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t>优化产能布局，鼓励和引导工商资本和农业产业化国家重点龙头企业在农畜产品优势区，建立标准化原料基地，打造“第一车间”“原料车间”和“粮食车间”，优化加工产能。支持技术创新，突破技术瓶颈，研发推广一批有知识产权的加工关键技术装备，研制一批智能控制等产加工设备。</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t>加强标准制定，制修订一批农产品加工技术规程和产品质量标准。提升加工深度，引导龙头企业建设农产品加工技术集成基地和精深加工示范基地，增加精深加工产品种类和产品附加值，推动加工企业由小变大、加工程度由初变深、加工产品由粗变精。2020年，发布农产品加工业100强企业。</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fldChar w:fldCharType="begin"/>
      </w:r>
      <w:r>
        <w:rPr>
          <w:rStyle w:val="59"/>
          <w:rFonts w:hint="eastAsia" w:ascii="仿宋" w:hAnsi="仿宋" w:eastAsia="仿宋" w:cs="仿宋"/>
          <w:b w:val="0"/>
          <w:color w:val="222222"/>
          <w:sz w:val="28"/>
          <w:szCs w:val="28"/>
          <w:shd w:val="clear" w:color="auto" w:fill="FFFFFF"/>
        </w:rPr>
        <w:instrText xml:space="preserve"> = 3 \* GB3 \* MERGEFORMAT </w:instrText>
      </w:r>
      <w:r>
        <w:rPr>
          <w:rStyle w:val="59"/>
          <w:rFonts w:hint="eastAsia" w:ascii="仿宋" w:hAnsi="仿宋" w:eastAsia="仿宋" w:cs="仿宋"/>
          <w:b w:val="0"/>
          <w:color w:val="222222"/>
          <w:sz w:val="28"/>
          <w:szCs w:val="28"/>
          <w:shd w:val="clear" w:color="auto" w:fill="FFFFFF"/>
        </w:rPr>
        <w:fldChar w:fldCharType="separate"/>
      </w:r>
      <w:r>
        <w:rPr>
          <w:rFonts w:hint="eastAsia" w:ascii="仿宋" w:hAnsi="仿宋" w:eastAsia="仿宋" w:cs="仿宋"/>
        </w:rPr>
        <w:t>③</w:t>
      </w:r>
      <w:r>
        <w:rPr>
          <w:rStyle w:val="59"/>
          <w:rFonts w:hint="eastAsia" w:ascii="仿宋" w:hAnsi="仿宋" w:eastAsia="仿宋" w:cs="仿宋"/>
          <w:b w:val="0"/>
          <w:color w:val="222222"/>
          <w:sz w:val="28"/>
          <w:szCs w:val="28"/>
          <w:shd w:val="clear" w:color="auto" w:fill="FFFFFF"/>
        </w:rPr>
        <w:fldChar w:fldCharType="end"/>
      </w:r>
      <w:r>
        <w:rPr>
          <w:rStyle w:val="59"/>
          <w:rFonts w:hint="eastAsia" w:ascii="仿宋" w:hAnsi="仿宋" w:eastAsia="仿宋" w:cs="仿宋"/>
          <w:b w:val="0"/>
          <w:color w:val="222222"/>
          <w:sz w:val="28"/>
          <w:szCs w:val="28"/>
          <w:shd w:val="clear" w:color="auto" w:fill="FFFFFF"/>
        </w:rPr>
        <w:t>推进副产物综合利用</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t>按照集约节约、环境友好、绿色发展要求，鼓励农产品加工企业开展副产物循环高值梯次利用。推行低消耗、少排放、可循环的绿色生产方式，推进“生产-加工-产品-资源”循环发展。加快副产物综合利用的技术创新，开发新能源、新材料、新产品等，实现资源多次增值、节能减排。2020年，推介一批农产品加工副产物综合利用典型案例。</w:t>
      </w:r>
    </w:p>
    <w:p>
      <w:pPr>
        <w:spacing w:line="480" w:lineRule="exact"/>
        <w:ind w:firstLine="560" w:firstLineChars="200"/>
        <w:rPr>
          <w:rStyle w:val="59"/>
          <w:rFonts w:ascii="仿宋" w:hAnsi="仿宋" w:eastAsia="仿宋" w:cs="仿宋"/>
          <w:b w:val="0"/>
          <w:color w:val="222222"/>
          <w:sz w:val="28"/>
          <w:szCs w:val="28"/>
          <w:shd w:val="clear" w:color="auto" w:fill="FFFFFF"/>
        </w:rPr>
      </w:pPr>
      <w:r>
        <w:rPr>
          <w:rStyle w:val="59"/>
          <w:rFonts w:hint="eastAsia" w:ascii="仿宋" w:hAnsi="仿宋" w:eastAsia="仿宋" w:cs="仿宋"/>
          <w:b w:val="0"/>
          <w:color w:val="222222"/>
          <w:sz w:val="28"/>
          <w:szCs w:val="28"/>
          <w:shd w:val="clear" w:color="auto" w:fill="FFFFFF"/>
        </w:rPr>
        <w:fldChar w:fldCharType="begin"/>
      </w:r>
      <w:r>
        <w:rPr>
          <w:rStyle w:val="59"/>
          <w:rFonts w:hint="eastAsia" w:ascii="仿宋" w:hAnsi="仿宋" w:eastAsia="仿宋" w:cs="仿宋"/>
          <w:b w:val="0"/>
          <w:color w:val="222222"/>
          <w:sz w:val="28"/>
          <w:szCs w:val="28"/>
          <w:shd w:val="clear" w:color="auto" w:fill="FFFFFF"/>
        </w:rPr>
        <w:instrText xml:space="preserve"> = 4 \* GB3 \* MERGEFORMAT </w:instrText>
      </w:r>
      <w:r>
        <w:rPr>
          <w:rStyle w:val="59"/>
          <w:rFonts w:hint="eastAsia" w:ascii="仿宋" w:hAnsi="仿宋" w:eastAsia="仿宋" w:cs="仿宋"/>
          <w:b w:val="0"/>
          <w:color w:val="222222"/>
          <w:sz w:val="28"/>
          <w:szCs w:val="28"/>
          <w:shd w:val="clear" w:color="auto" w:fill="FFFFFF"/>
        </w:rPr>
        <w:fldChar w:fldCharType="separate"/>
      </w:r>
      <w:r>
        <w:rPr>
          <w:rFonts w:hint="eastAsia" w:ascii="仿宋" w:hAnsi="仿宋" w:eastAsia="仿宋" w:cs="仿宋"/>
        </w:rPr>
        <w:t>④</w:t>
      </w:r>
      <w:r>
        <w:rPr>
          <w:rStyle w:val="59"/>
          <w:rFonts w:hint="eastAsia" w:ascii="仿宋" w:hAnsi="仿宋" w:eastAsia="仿宋" w:cs="仿宋"/>
          <w:b w:val="0"/>
          <w:color w:val="222222"/>
          <w:sz w:val="28"/>
          <w:szCs w:val="28"/>
          <w:shd w:val="clear" w:color="auto" w:fill="FFFFFF"/>
        </w:rPr>
        <w:fldChar w:fldCharType="end"/>
      </w:r>
      <w:r>
        <w:rPr>
          <w:rStyle w:val="59"/>
          <w:rFonts w:hint="eastAsia" w:ascii="仿宋" w:hAnsi="仿宋" w:eastAsia="仿宋" w:cs="仿宋"/>
          <w:b w:val="0"/>
          <w:color w:val="222222"/>
          <w:sz w:val="28"/>
          <w:szCs w:val="28"/>
          <w:shd w:val="clear" w:color="auto" w:fill="FFFFFF"/>
        </w:rPr>
        <w:t>建设农产品加工园区</w:t>
      </w:r>
    </w:p>
    <w:p>
      <w:pPr>
        <w:pStyle w:val="48"/>
        <w:shd w:val="clear" w:color="auto" w:fill="FFFFFF"/>
        <w:spacing w:before="0" w:beforeAutospacing="0" w:after="0" w:afterAutospacing="0" w:line="480" w:lineRule="exact"/>
        <w:rPr>
          <w:rFonts w:ascii="仿宋" w:hAnsi="仿宋" w:eastAsia="仿宋" w:cs="仿宋"/>
          <w:color w:val="191919"/>
        </w:rPr>
      </w:pPr>
      <w:r>
        <w:rPr>
          <w:rStyle w:val="59"/>
          <w:rFonts w:hint="eastAsia" w:ascii="仿宋" w:hAnsi="仿宋" w:eastAsia="仿宋" w:cs="仿宋"/>
          <w:b w:val="0"/>
          <w:color w:val="222222"/>
          <w:kern w:val="2"/>
          <w:sz w:val="28"/>
          <w:szCs w:val="28"/>
          <w:shd w:val="clear" w:color="auto" w:fill="FFFFFF"/>
        </w:rPr>
        <w:t xml:space="preserve">    按照“粮头食尾”“农头工尾”要求，支持粮食生产功能区、重要农产品生产保护区、特色农产品优势区，建设一批各具特色的农产品加工园区。</w:t>
      </w:r>
    </w:p>
    <w:p>
      <w:pPr>
        <w:pStyle w:val="3"/>
        <w:numPr>
          <w:ilvl w:val="0"/>
          <w:numId w:val="9"/>
        </w:numPr>
        <w:adjustRightInd/>
        <w:spacing w:before="0" w:after="0" w:line="360" w:lineRule="auto"/>
        <w:ind w:left="0" w:firstLine="560" w:firstLineChars="200"/>
        <w:contextualSpacing/>
        <w:rPr>
          <w:rFonts w:ascii="仿宋" w:hAnsi="仿宋" w:eastAsia="仿宋" w:cs="仿宋"/>
        </w:rPr>
      </w:pPr>
      <w:bookmarkStart w:id="125" w:name="_Toc10521"/>
      <w:bookmarkStart w:id="126" w:name="_Toc468392856"/>
      <w:bookmarkStart w:id="127" w:name="_Toc485741055"/>
      <w:r>
        <w:rPr>
          <w:rFonts w:hint="eastAsia" w:ascii="仿宋" w:hAnsi="仿宋" w:eastAsia="仿宋" w:cs="仿宋"/>
          <w:sz w:val="28"/>
          <w:szCs w:val="28"/>
        </w:rPr>
        <w:t>被评估企业的财务状况及经营状况</w:t>
      </w:r>
      <w:bookmarkEnd w:id="125"/>
      <w:bookmarkEnd w:id="126"/>
      <w:bookmarkEnd w:id="127"/>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(一)历史年度财务状况</w:t>
      </w:r>
    </w:p>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历年资产负债表</w:t>
      </w:r>
    </w:p>
    <w:p>
      <w:pPr>
        <w:adjustRightInd w:val="0"/>
        <w:snapToGrid w:val="0"/>
        <w:spacing w:line="300" w:lineRule="auto"/>
        <w:ind w:right="212" w:rightChars="101"/>
        <w:jc w:val="right"/>
        <w:rPr>
          <w:rFonts w:ascii="仿宋" w:hAnsi="仿宋" w:eastAsia="仿宋" w:cs="仿宋"/>
          <w:sz w:val="24"/>
        </w:rPr>
      </w:pPr>
      <w:r>
        <w:rPr>
          <w:rFonts w:hint="eastAsia" w:ascii="仿宋" w:hAnsi="仿宋" w:eastAsia="仿宋" w:cs="仿宋"/>
          <w:sz w:val="24"/>
        </w:rPr>
        <w:t>金额单位：人民币元</w:t>
      </w:r>
    </w:p>
    <w:tbl>
      <w:tblPr>
        <w:tblStyle w:val="54"/>
        <w:tblW w:w="7224" w:type="dxa"/>
        <w:jc w:val="center"/>
        <w:tblLayout w:type="fixed"/>
        <w:tblCellMar>
          <w:top w:w="15" w:type="dxa"/>
          <w:left w:w="15" w:type="dxa"/>
          <w:bottom w:w="15" w:type="dxa"/>
          <w:right w:w="15" w:type="dxa"/>
        </w:tblCellMar>
      </w:tblPr>
      <w:tblGrid>
        <w:gridCol w:w="3087"/>
        <w:gridCol w:w="2195"/>
        <w:gridCol w:w="1942"/>
      </w:tblGrid>
      <w:tr>
        <w:tblPrEx>
          <w:tblCellMar>
            <w:top w:w="15" w:type="dxa"/>
            <w:left w:w="15" w:type="dxa"/>
            <w:bottom w:w="15" w:type="dxa"/>
            <w:right w:w="15" w:type="dxa"/>
          </w:tblCellMar>
        </w:tblPrEx>
        <w:trPr>
          <w:trHeight w:val="433"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szCs w:val="21"/>
              </w:rPr>
              <w:t>项目</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2019年12月31日</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2020年6月30日</w:t>
            </w: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货币资金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1,226,054.72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预付账款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kern w:val="0"/>
                <w:szCs w:val="21"/>
                <w:lang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应收账款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应收股利</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其他应收款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1,183,089.39</w:t>
            </w: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存货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其他流动资产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流动资产合计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1,226,054.72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val="en-US" w:eastAsia="zh-CN" w:bidi="ar"/>
              </w:rPr>
              <w:t>1,183,089.39</w:t>
            </w: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非流动资产：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长期应收款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长期股权投资</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投资性房地产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非流动资产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减：非流动资产减值准备</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在建工程</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r>
              <w:rPr>
                <w:rFonts w:hint="eastAsia" w:ascii="仿宋" w:hAnsi="仿宋" w:eastAsia="仿宋" w:cs="仿宋"/>
                <w:color w:val="000000"/>
                <w:szCs w:val="21"/>
              </w:rPr>
              <w:t>975,539.00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r>
              <w:rPr>
                <w:rFonts w:hint="eastAsia" w:ascii="仿宋" w:hAnsi="仿宋" w:eastAsia="仿宋" w:cs="仿宋"/>
                <w:color w:val="000000"/>
                <w:szCs w:val="21"/>
              </w:rPr>
              <w:t>989,039.00</w:t>
            </w: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工程物资</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非流动资产净额</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无形资产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10,799,811.39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10,688,281.49</w:t>
            </w: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开发支出</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非流动资产合计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11,775,350.39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11,677,320.49</w:t>
            </w:r>
          </w:p>
        </w:tc>
      </w:tr>
      <w:tr>
        <w:tblPrEx>
          <w:tblCellMar>
            <w:top w:w="15" w:type="dxa"/>
            <w:left w:w="15" w:type="dxa"/>
            <w:bottom w:w="15" w:type="dxa"/>
            <w:right w:w="15" w:type="dxa"/>
          </w:tblCellMar>
        </w:tblPrEx>
        <w:trPr>
          <w:trHeight w:val="452"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资产总计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13,001,405.11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12,860,409.88</w:t>
            </w: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流动负债：</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应付账款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应付职工薪酬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应交税费</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FF0000"/>
                <w:szCs w:val="21"/>
              </w:rPr>
            </w:pPr>
            <w:r>
              <w:rPr>
                <w:rFonts w:hint="eastAsia" w:ascii="仿宋" w:hAnsi="仿宋" w:eastAsia="仿宋" w:cs="仿宋"/>
                <w:kern w:val="0"/>
                <w:szCs w:val="21"/>
                <w:lang w:bidi="ar"/>
              </w:rPr>
              <w:t>14,490.23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szCs w:val="21"/>
              </w:rPr>
            </w:pPr>
            <w:r>
              <w:rPr>
                <w:rFonts w:hint="eastAsia" w:ascii="仿宋" w:hAnsi="仿宋" w:eastAsia="仿宋" w:cs="仿宋"/>
                <w:kern w:val="0"/>
                <w:szCs w:val="21"/>
                <w:lang w:bidi="ar"/>
              </w:rPr>
              <w:t>14,490.23</w:t>
            </w: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其他应付款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kern w:val="0"/>
                <w:szCs w:val="21"/>
                <w:lang w:bidi="ar"/>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流动负债合计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kern w:val="0"/>
                <w:szCs w:val="21"/>
                <w:lang w:bidi="ar"/>
              </w:rPr>
              <w:t>14,490.23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kern w:val="0"/>
                <w:szCs w:val="21"/>
                <w:lang w:bidi="ar"/>
              </w:rPr>
            </w:pPr>
            <w:r>
              <w:rPr>
                <w:rFonts w:hint="eastAsia" w:ascii="仿宋" w:hAnsi="仿宋" w:eastAsia="仿宋" w:cs="仿宋"/>
                <w:kern w:val="0"/>
                <w:szCs w:val="21"/>
                <w:lang w:bidi="ar"/>
              </w:rPr>
              <w:t>14,490.23</w:t>
            </w: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非流动负债：</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长期借款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FF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FF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长期应付款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FF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FF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非流动负债合计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FF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FF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负债合计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kern w:val="0"/>
                <w:szCs w:val="21"/>
                <w:lang w:bidi="ar"/>
              </w:rPr>
              <w:t>14,490.23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kern w:val="0"/>
                <w:szCs w:val="21"/>
                <w:lang w:bidi="ar"/>
              </w:rPr>
              <w:t>14,490.23</w:t>
            </w: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所有者权益：</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FF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FF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实收资本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12,100,000.00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12,100,000.00</w:t>
            </w: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国有资本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其中：国有法人资本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集体资本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民营资本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资本公积</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盈余公积</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其中:法定公积金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任意公积金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 w:hAnsi="仿宋" w:eastAsia="仿宋" w:cs="仿宋"/>
                <w:color w:val="000000"/>
                <w:szCs w:val="21"/>
              </w:rPr>
            </w:pP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未分配利润</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886,914.88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745,919.65</w:t>
            </w:r>
          </w:p>
        </w:tc>
      </w:tr>
      <w:tr>
        <w:tblPrEx>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所有者权益合计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12,986,914.88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 w:hAnsi="仿宋" w:eastAsia="仿宋" w:cs="仿宋"/>
                <w:b/>
                <w:bCs/>
                <w:color w:val="000000"/>
                <w:kern w:val="0"/>
                <w:szCs w:val="21"/>
                <w:lang w:val="en-US" w:eastAsia="zh-CN" w:bidi="ar"/>
              </w:rPr>
            </w:pPr>
            <w:r>
              <w:rPr>
                <w:rFonts w:hint="eastAsia" w:ascii="仿宋" w:hAnsi="仿宋" w:eastAsia="仿宋" w:cs="仿宋"/>
                <w:b/>
                <w:bCs/>
                <w:color w:val="000000"/>
                <w:kern w:val="0"/>
                <w:szCs w:val="21"/>
                <w:lang w:val="en-US" w:eastAsia="zh-CN" w:bidi="ar"/>
              </w:rPr>
              <w:t>12,845,919.65</w:t>
            </w:r>
          </w:p>
        </w:tc>
      </w:tr>
      <w:tr>
        <w:tblPrEx>
          <w:tblCellMar>
            <w:top w:w="15" w:type="dxa"/>
            <w:left w:w="15" w:type="dxa"/>
            <w:bottom w:w="15" w:type="dxa"/>
            <w:right w:w="15" w:type="dxa"/>
          </w:tblCellMar>
        </w:tblPrEx>
        <w:trPr>
          <w:trHeight w:val="452"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负债及所有者权益总计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13,001,405.11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 w:hAnsi="仿宋" w:eastAsia="仿宋" w:cs="仿宋"/>
                <w:b/>
                <w:bCs/>
                <w:color w:val="000000"/>
                <w:kern w:val="0"/>
                <w:szCs w:val="21"/>
                <w:lang w:val="en-US" w:eastAsia="zh-CN" w:bidi="ar"/>
              </w:rPr>
            </w:pPr>
            <w:r>
              <w:rPr>
                <w:rFonts w:hint="eastAsia" w:ascii="仿宋" w:hAnsi="仿宋" w:eastAsia="仿宋" w:cs="仿宋"/>
                <w:b/>
                <w:bCs/>
                <w:color w:val="000000"/>
                <w:kern w:val="0"/>
                <w:szCs w:val="21"/>
                <w:lang w:val="en-US" w:eastAsia="zh-CN" w:bidi="ar"/>
              </w:rPr>
              <w:t>12,860,409.88</w:t>
            </w:r>
          </w:p>
        </w:tc>
      </w:tr>
    </w:tbl>
    <w:p>
      <w:pPr>
        <w:adjustRightInd w:val="0"/>
        <w:snapToGrid w:val="0"/>
        <w:spacing w:before="312" w:beforeLines="100" w:line="360" w:lineRule="auto"/>
        <w:ind w:firstLine="560" w:firstLineChars="200"/>
        <w:rPr>
          <w:rFonts w:ascii="仿宋" w:hAnsi="仿宋" w:eastAsia="仿宋" w:cs="仿宋"/>
          <w:sz w:val="28"/>
          <w:szCs w:val="28"/>
        </w:rPr>
      </w:pPr>
      <w:r>
        <w:rPr>
          <w:rFonts w:hint="eastAsia" w:ascii="仿宋" w:hAnsi="仿宋" w:eastAsia="仿宋" w:cs="仿宋"/>
          <w:sz w:val="28"/>
          <w:szCs w:val="28"/>
        </w:rPr>
        <w:t>(二)历史年度经营状况</w:t>
      </w:r>
    </w:p>
    <w:p>
      <w:pPr>
        <w:adjustRightInd w:val="0"/>
        <w:snapToGrid w:val="0"/>
        <w:spacing w:line="360" w:lineRule="auto"/>
        <w:ind w:left="420"/>
        <w:jc w:val="center"/>
        <w:rPr>
          <w:rFonts w:ascii="仿宋" w:hAnsi="仿宋" w:eastAsia="仿宋" w:cs="仿宋"/>
          <w:sz w:val="28"/>
          <w:szCs w:val="28"/>
        </w:rPr>
      </w:pPr>
      <w:r>
        <w:rPr>
          <w:rFonts w:hint="eastAsia" w:ascii="仿宋" w:hAnsi="仿宋" w:eastAsia="仿宋" w:cs="仿宋"/>
          <w:sz w:val="28"/>
          <w:szCs w:val="28"/>
        </w:rPr>
        <w:t>利润表</w:t>
      </w:r>
    </w:p>
    <w:p>
      <w:pPr>
        <w:adjustRightInd w:val="0"/>
        <w:snapToGrid w:val="0"/>
        <w:spacing w:line="360" w:lineRule="auto"/>
        <w:ind w:left="539" w:right="571" w:rightChars="272" w:firstLine="4860" w:firstLineChars="2025"/>
        <w:jc w:val="right"/>
        <w:rPr>
          <w:rFonts w:ascii="仿宋" w:hAnsi="仿宋" w:eastAsia="仿宋" w:cs="仿宋"/>
          <w:sz w:val="24"/>
        </w:rPr>
      </w:pPr>
      <w:r>
        <w:rPr>
          <w:rFonts w:hint="eastAsia" w:ascii="仿宋" w:hAnsi="仿宋" w:eastAsia="仿宋" w:cs="仿宋"/>
          <w:sz w:val="24"/>
        </w:rPr>
        <w:t>金额单位：人民币元</w:t>
      </w:r>
    </w:p>
    <w:tbl>
      <w:tblPr>
        <w:tblStyle w:val="54"/>
        <w:tblW w:w="6785" w:type="dxa"/>
        <w:jc w:val="center"/>
        <w:tblLayout w:type="fixed"/>
        <w:tblCellMar>
          <w:top w:w="0" w:type="dxa"/>
          <w:left w:w="108" w:type="dxa"/>
          <w:bottom w:w="0" w:type="dxa"/>
          <w:right w:w="108" w:type="dxa"/>
        </w:tblCellMar>
      </w:tblPr>
      <w:tblGrid>
        <w:gridCol w:w="2982"/>
        <w:gridCol w:w="1943"/>
        <w:gridCol w:w="1860"/>
      </w:tblGrid>
      <w:tr>
        <w:tblPrEx>
          <w:tblCellMar>
            <w:top w:w="0" w:type="dxa"/>
            <w:left w:w="108" w:type="dxa"/>
            <w:bottom w:w="0" w:type="dxa"/>
            <w:right w:w="108" w:type="dxa"/>
          </w:tblCellMar>
        </w:tblPrEx>
        <w:trPr>
          <w:trHeight w:val="255" w:hRule="atLeast"/>
          <w:jc w:val="center"/>
        </w:trPr>
        <w:tc>
          <w:tcPr>
            <w:tcW w:w="2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b/>
                <w:kern w:val="0"/>
                <w:sz w:val="20"/>
                <w:szCs w:val="20"/>
              </w:rPr>
            </w:pPr>
            <w:r>
              <w:rPr>
                <w:rFonts w:hint="eastAsia" w:ascii="仿宋" w:hAnsi="仿宋" w:eastAsia="仿宋" w:cs="仿宋"/>
                <w:b/>
                <w:kern w:val="0"/>
                <w:sz w:val="20"/>
                <w:szCs w:val="20"/>
              </w:rPr>
              <w:t>项目</w:t>
            </w:r>
          </w:p>
        </w:tc>
        <w:tc>
          <w:tcPr>
            <w:tcW w:w="19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kern w:val="0"/>
                <w:sz w:val="20"/>
                <w:szCs w:val="20"/>
              </w:rPr>
            </w:pPr>
            <w:r>
              <w:rPr>
                <w:rFonts w:hint="eastAsia" w:ascii="仿宋" w:hAnsi="仿宋" w:eastAsia="仿宋" w:cs="仿宋"/>
                <w:b/>
                <w:kern w:val="0"/>
                <w:sz w:val="20"/>
                <w:szCs w:val="20"/>
              </w:rPr>
              <w:t>2019年度</w:t>
            </w:r>
          </w:p>
        </w:tc>
        <w:tc>
          <w:tcPr>
            <w:tcW w:w="1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kern w:val="0"/>
                <w:sz w:val="20"/>
                <w:szCs w:val="20"/>
              </w:rPr>
            </w:pPr>
            <w:r>
              <w:rPr>
                <w:rFonts w:hint="eastAsia" w:ascii="仿宋" w:hAnsi="仿宋" w:eastAsia="仿宋" w:cs="仿宋"/>
                <w:b/>
                <w:kern w:val="0"/>
                <w:sz w:val="20"/>
                <w:szCs w:val="20"/>
              </w:rPr>
              <w:t>2020年1-6月</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b/>
                <w:bCs/>
                <w:kern w:val="0"/>
                <w:sz w:val="20"/>
                <w:szCs w:val="20"/>
              </w:rPr>
            </w:pPr>
            <w:r>
              <w:rPr>
                <w:rFonts w:hint="eastAsia" w:ascii="仿宋" w:hAnsi="仿宋" w:eastAsia="仿宋" w:cs="仿宋"/>
                <w:b/>
                <w:bCs/>
                <w:kern w:val="0"/>
                <w:sz w:val="20"/>
                <w:szCs w:val="20"/>
              </w:rPr>
              <w:t>一、营业收入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其中：主营业务收入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ind w:firstLine="600" w:firstLineChars="300"/>
              <w:jc w:val="left"/>
              <w:rPr>
                <w:rFonts w:ascii="仿宋" w:hAnsi="仿宋" w:eastAsia="仿宋" w:cs="仿宋"/>
                <w:kern w:val="0"/>
                <w:sz w:val="20"/>
                <w:szCs w:val="20"/>
              </w:rPr>
            </w:pPr>
            <w:r>
              <w:rPr>
                <w:rFonts w:hint="eastAsia" w:ascii="仿宋" w:hAnsi="仿宋" w:eastAsia="仿宋" w:cs="仿宋"/>
                <w:kern w:val="0"/>
                <w:sz w:val="20"/>
                <w:szCs w:val="20"/>
              </w:rPr>
              <w:t>其他营业收入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减：营业成本</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其中：主营业务成本</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ind w:firstLine="600" w:firstLineChars="300"/>
              <w:jc w:val="left"/>
              <w:rPr>
                <w:rFonts w:ascii="仿宋" w:hAnsi="仿宋" w:eastAsia="仿宋" w:cs="仿宋"/>
                <w:kern w:val="0"/>
                <w:sz w:val="20"/>
                <w:szCs w:val="20"/>
              </w:rPr>
            </w:pPr>
            <w:r>
              <w:rPr>
                <w:rFonts w:hint="eastAsia" w:ascii="仿宋" w:hAnsi="仿宋" w:eastAsia="仿宋" w:cs="仿宋"/>
                <w:kern w:val="0"/>
                <w:sz w:val="20"/>
                <w:szCs w:val="20"/>
              </w:rPr>
              <w:t>其他业务成本</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营业税金及附加</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57</w:t>
            </w:r>
            <w:r>
              <w:rPr>
                <w:rFonts w:hint="eastAsia" w:ascii="仿宋" w:hAnsi="仿宋" w:eastAsia="仿宋" w:cs="仿宋"/>
                <w:kern w:val="0"/>
                <w:sz w:val="20"/>
                <w:szCs w:val="20"/>
                <w:lang w:val="en-US" w:eastAsia="zh-CN"/>
              </w:rPr>
              <w:t>,</w:t>
            </w:r>
            <w:r>
              <w:rPr>
                <w:rFonts w:hint="eastAsia" w:ascii="仿宋" w:hAnsi="仿宋" w:eastAsia="仿宋" w:cs="仿宋"/>
                <w:kern w:val="0"/>
                <w:sz w:val="20"/>
                <w:szCs w:val="20"/>
              </w:rPr>
              <w:t>960.92</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28</w:t>
            </w:r>
            <w:r>
              <w:rPr>
                <w:rFonts w:hint="eastAsia" w:ascii="仿宋" w:hAnsi="仿宋" w:eastAsia="仿宋" w:cs="仿宋"/>
                <w:kern w:val="0"/>
                <w:sz w:val="20"/>
                <w:szCs w:val="20"/>
                <w:lang w:val="en-US" w:eastAsia="zh-CN"/>
              </w:rPr>
              <w:t>,</w:t>
            </w:r>
            <w:r>
              <w:rPr>
                <w:rFonts w:hint="eastAsia" w:ascii="仿宋" w:hAnsi="仿宋" w:eastAsia="仿宋" w:cs="仿宋"/>
                <w:kern w:val="0"/>
                <w:sz w:val="20"/>
                <w:szCs w:val="20"/>
              </w:rPr>
              <w:t>980.46</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管理费用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223</w:t>
            </w:r>
            <w:r>
              <w:rPr>
                <w:rFonts w:hint="eastAsia" w:ascii="仿宋" w:hAnsi="仿宋" w:eastAsia="仿宋" w:cs="仿宋"/>
                <w:kern w:val="0"/>
                <w:sz w:val="20"/>
                <w:szCs w:val="20"/>
                <w:lang w:val="en-US" w:eastAsia="zh-CN"/>
              </w:rPr>
              <w:t>,</w:t>
            </w:r>
            <w:r>
              <w:rPr>
                <w:rFonts w:hint="eastAsia" w:ascii="仿宋" w:hAnsi="仿宋" w:eastAsia="仿宋" w:cs="仿宋"/>
                <w:kern w:val="0"/>
                <w:sz w:val="20"/>
                <w:szCs w:val="20"/>
              </w:rPr>
              <w:t>059.80</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113</w:t>
            </w:r>
            <w:r>
              <w:rPr>
                <w:rFonts w:hint="eastAsia" w:ascii="仿宋" w:hAnsi="仿宋" w:eastAsia="仿宋" w:cs="仿宋"/>
                <w:kern w:val="0"/>
                <w:sz w:val="20"/>
                <w:szCs w:val="20"/>
                <w:lang w:val="en-US" w:eastAsia="zh-CN"/>
              </w:rPr>
              <w:t>,</w:t>
            </w:r>
            <w:r>
              <w:rPr>
                <w:rFonts w:hint="eastAsia" w:ascii="仿宋" w:hAnsi="仿宋" w:eastAsia="仿宋" w:cs="仿宋"/>
                <w:kern w:val="0"/>
                <w:sz w:val="20"/>
                <w:szCs w:val="20"/>
              </w:rPr>
              <w:t>529.90</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营业费用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财务费用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-3</w:t>
            </w:r>
            <w:r>
              <w:rPr>
                <w:rFonts w:hint="eastAsia" w:ascii="仿宋" w:hAnsi="仿宋" w:eastAsia="仿宋" w:cs="仿宋"/>
                <w:kern w:val="0"/>
                <w:sz w:val="20"/>
                <w:szCs w:val="20"/>
                <w:lang w:val="en-US" w:eastAsia="zh-CN"/>
              </w:rPr>
              <w:t>,</w:t>
            </w:r>
            <w:r>
              <w:rPr>
                <w:rFonts w:hint="eastAsia" w:ascii="仿宋" w:hAnsi="仿宋" w:eastAsia="仿宋" w:cs="仿宋"/>
                <w:kern w:val="0"/>
                <w:sz w:val="20"/>
                <w:szCs w:val="20"/>
              </w:rPr>
              <w:t>382.71</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w:t>
            </w:r>
            <w:r>
              <w:rPr>
                <w:rFonts w:hint="eastAsia" w:ascii="仿宋" w:hAnsi="仿宋" w:eastAsia="仿宋" w:cs="仿宋"/>
                <w:kern w:val="0"/>
                <w:sz w:val="20"/>
                <w:szCs w:val="20"/>
              </w:rPr>
              <w:t>515.13</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资产减值损失</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加：公允价值变动收益</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投资收益</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b/>
                <w:bCs/>
                <w:kern w:val="0"/>
                <w:sz w:val="20"/>
                <w:szCs w:val="20"/>
              </w:rPr>
            </w:pPr>
            <w:r>
              <w:rPr>
                <w:rFonts w:hint="eastAsia" w:ascii="仿宋" w:hAnsi="仿宋" w:eastAsia="仿宋" w:cs="仿宋"/>
                <w:b/>
                <w:bCs/>
                <w:kern w:val="0"/>
                <w:sz w:val="20"/>
                <w:szCs w:val="20"/>
              </w:rPr>
              <w:t>二、营业利润</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-277</w:t>
            </w:r>
            <w:r>
              <w:rPr>
                <w:rFonts w:hint="eastAsia" w:ascii="仿宋" w:hAnsi="仿宋" w:eastAsia="仿宋" w:cs="仿宋"/>
                <w:b/>
                <w:bCs/>
                <w:kern w:val="0"/>
                <w:sz w:val="20"/>
                <w:szCs w:val="20"/>
                <w:lang w:val="en-US" w:eastAsia="zh-CN"/>
              </w:rPr>
              <w:t>,</w:t>
            </w:r>
            <w:r>
              <w:rPr>
                <w:rFonts w:hint="eastAsia" w:ascii="仿宋" w:hAnsi="仿宋" w:eastAsia="仿宋" w:cs="仿宋"/>
                <w:b/>
                <w:bCs/>
                <w:kern w:val="0"/>
                <w:sz w:val="20"/>
                <w:szCs w:val="20"/>
              </w:rPr>
              <w:t>638.01</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default" w:ascii="仿宋" w:hAnsi="仿宋" w:eastAsia="仿宋" w:cs="仿宋"/>
                <w:b/>
                <w:bCs/>
                <w:kern w:val="0"/>
                <w:sz w:val="20"/>
                <w:szCs w:val="20"/>
                <w:lang w:val="en-US" w:eastAsia="zh-CN"/>
              </w:rPr>
            </w:pPr>
            <w:r>
              <w:rPr>
                <w:rFonts w:hint="eastAsia" w:ascii="仿宋" w:hAnsi="仿宋" w:eastAsia="仿宋" w:cs="仿宋"/>
                <w:b/>
                <w:bCs/>
                <w:kern w:val="0"/>
                <w:sz w:val="20"/>
                <w:szCs w:val="20"/>
              </w:rPr>
              <w:t>-1</w:t>
            </w:r>
            <w:r>
              <w:rPr>
                <w:rFonts w:hint="eastAsia" w:ascii="仿宋" w:hAnsi="仿宋" w:eastAsia="仿宋" w:cs="仿宋"/>
                <w:b/>
                <w:bCs/>
                <w:kern w:val="0"/>
                <w:sz w:val="20"/>
                <w:szCs w:val="20"/>
                <w:lang w:val="en-US" w:eastAsia="zh-CN"/>
              </w:rPr>
              <w:t>40,995.23</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加：营业外收入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减：营业外支出</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r>
              <w:rPr>
                <w:rFonts w:hint="eastAsia" w:ascii="仿宋" w:hAnsi="仿宋" w:eastAsia="仿宋" w:cs="仿宋"/>
                <w:kern w:val="0"/>
                <w:sz w:val="20"/>
                <w:szCs w:val="20"/>
              </w:rPr>
              <w:t>144.90</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b/>
                <w:bCs/>
                <w:kern w:val="0"/>
                <w:sz w:val="20"/>
                <w:szCs w:val="20"/>
              </w:rPr>
            </w:pPr>
            <w:r>
              <w:rPr>
                <w:rFonts w:hint="eastAsia" w:ascii="仿宋" w:hAnsi="仿宋" w:eastAsia="仿宋" w:cs="仿宋"/>
                <w:b/>
                <w:bCs/>
                <w:kern w:val="0"/>
                <w:sz w:val="20"/>
                <w:szCs w:val="20"/>
              </w:rPr>
              <w:t>三、利润总额</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-277</w:t>
            </w:r>
            <w:r>
              <w:rPr>
                <w:rFonts w:hint="eastAsia" w:ascii="仿宋" w:hAnsi="仿宋" w:eastAsia="仿宋" w:cs="仿宋"/>
                <w:b/>
                <w:bCs/>
                <w:kern w:val="0"/>
                <w:sz w:val="20"/>
                <w:szCs w:val="20"/>
                <w:lang w:val="en-US" w:eastAsia="zh-CN"/>
              </w:rPr>
              <w:t>,</w:t>
            </w:r>
            <w:r>
              <w:rPr>
                <w:rFonts w:hint="eastAsia" w:ascii="仿宋" w:hAnsi="仿宋" w:eastAsia="仿宋" w:cs="仿宋"/>
                <w:b/>
                <w:bCs/>
                <w:kern w:val="0"/>
                <w:sz w:val="20"/>
                <w:szCs w:val="20"/>
              </w:rPr>
              <w:t>782.91</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-1</w:t>
            </w:r>
            <w:r>
              <w:rPr>
                <w:rFonts w:hint="eastAsia" w:ascii="仿宋" w:hAnsi="仿宋" w:eastAsia="仿宋" w:cs="仿宋"/>
                <w:b/>
                <w:bCs/>
                <w:kern w:val="0"/>
                <w:sz w:val="20"/>
                <w:szCs w:val="20"/>
                <w:lang w:val="en-US" w:eastAsia="zh-CN"/>
              </w:rPr>
              <w:t>40,995.23</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20"/>
                <w:szCs w:val="20"/>
              </w:rPr>
            </w:pPr>
            <w:r>
              <w:rPr>
                <w:rFonts w:hint="eastAsia" w:ascii="仿宋" w:hAnsi="仿宋" w:eastAsia="仿宋" w:cs="仿宋"/>
                <w:kern w:val="0"/>
                <w:sz w:val="20"/>
                <w:szCs w:val="20"/>
              </w:rPr>
              <w:t>减：所得税费用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b/>
                <w:bCs/>
                <w:kern w:val="0"/>
                <w:sz w:val="20"/>
                <w:szCs w:val="20"/>
              </w:rPr>
            </w:pPr>
            <w:r>
              <w:rPr>
                <w:rFonts w:hint="eastAsia" w:ascii="仿宋" w:hAnsi="仿宋" w:eastAsia="仿宋" w:cs="仿宋"/>
                <w:b/>
                <w:bCs/>
                <w:kern w:val="0"/>
                <w:sz w:val="20"/>
                <w:szCs w:val="20"/>
              </w:rPr>
              <w:t>四、净利润</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-277</w:t>
            </w:r>
            <w:r>
              <w:rPr>
                <w:rFonts w:hint="eastAsia" w:ascii="仿宋" w:hAnsi="仿宋" w:eastAsia="仿宋" w:cs="仿宋"/>
                <w:b/>
                <w:bCs/>
                <w:kern w:val="0"/>
                <w:sz w:val="20"/>
                <w:szCs w:val="20"/>
                <w:lang w:val="en-US" w:eastAsia="zh-CN"/>
              </w:rPr>
              <w:t>,</w:t>
            </w:r>
            <w:r>
              <w:rPr>
                <w:rFonts w:hint="eastAsia" w:ascii="仿宋" w:hAnsi="仿宋" w:eastAsia="仿宋" w:cs="仿宋"/>
                <w:b/>
                <w:bCs/>
                <w:kern w:val="0"/>
                <w:sz w:val="20"/>
                <w:szCs w:val="20"/>
              </w:rPr>
              <w:t>782.91</w:t>
            </w: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b/>
                <w:bCs/>
                <w:kern w:val="0"/>
                <w:sz w:val="20"/>
                <w:szCs w:val="20"/>
              </w:rPr>
            </w:pPr>
            <w:r>
              <w:rPr>
                <w:rFonts w:hint="eastAsia" w:ascii="仿宋" w:hAnsi="仿宋" w:eastAsia="仿宋" w:cs="仿宋"/>
                <w:b/>
                <w:bCs/>
                <w:kern w:val="0"/>
                <w:sz w:val="20"/>
                <w:szCs w:val="20"/>
              </w:rPr>
              <w:t>-1</w:t>
            </w:r>
            <w:r>
              <w:rPr>
                <w:rFonts w:hint="eastAsia" w:ascii="仿宋" w:hAnsi="仿宋" w:eastAsia="仿宋" w:cs="仿宋"/>
                <w:b/>
                <w:bCs/>
                <w:kern w:val="0"/>
                <w:sz w:val="20"/>
                <w:szCs w:val="20"/>
                <w:lang w:val="en-US" w:eastAsia="zh-CN"/>
              </w:rPr>
              <w:t>40,995.23</w:t>
            </w:r>
          </w:p>
        </w:tc>
      </w:tr>
    </w:tbl>
    <w:p>
      <w:pPr>
        <w:spacing w:line="480" w:lineRule="exact"/>
        <w:ind w:firstLine="560" w:firstLineChars="200"/>
        <w:contextualSpacing/>
        <w:rPr>
          <w:rFonts w:ascii="仿宋" w:hAnsi="仿宋" w:eastAsia="仿宋" w:cs="仿宋"/>
          <w:color w:val="000000"/>
          <w:sz w:val="28"/>
          <w:szCs w:val="28"/>
        </w:rPr>
      </w:pPr>
      <w:r>
        <w:rPr>
          <w:rFonts w:hint="eastAsia" w:ascii="仿宋" w:hAnsi="仿宋" w:eastAsia="仿宋" w:cs="仿宋"/>
          <w:color w:val="000000"/>
          <w:sz w:val="28"/>
          <w:szCs w:val="28"/>
        </w:rPr>
        <w:t>上表中列示的财务数据，其账面金额经中兴华会计师事务所（特殊普通合伙）审计，并出具了无保留意见的审计报告“中兴华专字（2020）第020198号”</w:t>
      </w:r>
      <w:bookmarkStart w:id="128" w:name="_Hlk46068496"/>
      <w:r>
        <w:rPr>
          <w:rFonts w:hint="eastAsia" w:ascii="仿宋" w:hAnsi="仿宋" w:eastAsia="仿宋" w:cs="仿宋"/>
          <w:color w:val="000000"/>
          <w:sz w:val="28"/>
          <w:szCs w:val="28"/>
        </w:rPr>
        <w:t>《</w:t>
      </w:r>
      <w:bookmarkStart w:id="129" w:name="_Hlk46068480"/>
      <w:r>
        <w:rPr>
          <w:rFonts w:hint="eastAsia" w:ascii="仿宋" w:hAnsi="仿宋" w:eastAsia="仿宋" w:cs="仿宋"/>
          <w:color w:val="000000"/>
          <w:sz w:val="28"/>
          <w:szCs w:val="28"/>
        </w:rPr>
        <w:t>江苏焦点粮食储运有限公司</w:t>
      </w:r>
      <w:bookmarkEnd w:id="129"/>
      <w:r>
        <w:rPr>
          <w:rFonts w:hint="eastAsia" w:ascii="仿宋" w:hAnsi="仿宋" w:eastAsia="仿宋" w:cs="仿宋"/>
          <w:color w:val="000000"/>
          <w:sz w:val="28"/>
          <w:szCs w:val="28"/>
        </w:rPr>
        <w:t>审计报告》</w:t>
      </w:r>
      <w:bookmarkEnd w:id="128"/>
      <w:r>
        <w:rPr>
          <w:rFonts w:hint="eastAsia" w:ascii="仿宋" w:hAnsi="仿宋" w:eastAsia="仿宋" w:cs="仿宋"/>
          <w:color w:val="000000"/>
          <w:sz w:val="28"/>
          <w:szCs w:val="28"/>
        </w:rPr>
        <w:t>。</w:t>
      </w:r>
    </w:p>
    <w:p>
      <w:pPr>
        <w:pStyle w:val="3"/>
        <w:numPr>
          <w:ilvl w:val="0"/>
          <w:numId w:val="9"/>
        </w:numPr>
        <w:adjustRightInd/>
        <w:spacing w:before="0" w:after="0" w:line="480" w:lineRule="exact"/>
        <w:ind w:left="0" w:firstLine="560" w:firstLineChars="200"/>
        <w:contextualSpacing/>
        <w:rPr>
          <w:rFonts w:ascii="仿宋" w:hAnsi="仿宋" w:eastAsia="仿宋" w:cs="仿宋"/>
          <w:sz w:val="28"/>
          <w:szCs w:val="28"/>
        </w:rPr>
      </w:pPr>
      <w:bookmarkStart w:id="130" w:name="_Toc1710"/>
      <w:bookmarkStart w:id="131" w:name="_Toc485741056"/>
      <w:bookmarkStart w:id="132" w:name="_Toc468392857"/>
      <w:r>
        <w:rPr>
          <w:rFonts w:hint="eastAsia" w:ascii="仿宋" w:hAnsi="仿宋" w:eastAsia="仿宋" w:cs="仿宋"/>
          <w:sz w:val="28"/>
          <w:szCs w:val="28"/>
        </w:rPr>
        <w:t>经营性业务价值的估算及分析过程</w:t>
      </w:r>
      <w:bookmarkEnd w:id="130"/>
      <w:bookmarkEnd w:id="131"/>
      <w:bookmarkEnd w:id="132"/>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由于企业正处于前期准备阶段，从上述的财务报表可以看出，企业没有相关的直接经营数据用于测算，本次预测口径为被评估企业经营范围与立项资料等，预测范围为被评估企业经营性业务。</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本次评估收益预测是被评估企业的立项批复、执业经营范围、且主营业务持续稳定状态为基础，遵循我国现行的有关法律、法规的规定，根据国家宏观政策，研究了所在行业市场的现状与前景，分析了公司的优势与劣势，尤其是所面临的市场环境和未来的发展前景及潜力，并依据公司战略规划，经过综合分析研究编制的。</w:t>
      </w:r>
    </w:p>
    <w:p>
      <w:pPr>
        <w:spacing w:line="480" w:lineRule="exact"/>
        <w:ind w:firstLine="560" w:firstLineChars="200"/>
        <w:contextualSpacing/>
        <w:rPr>
          <w:rFonts w:ascii="仿宋" w:hAnsi="仿宋" w:eastAsia="仿宋" w:cs="仿宋"/>
          <w:color w:val="000000"/>
          <w:sz w:val="28"/>
          <w:szCs w:val="28"/>
        </w:rPr>
      </w:pPr>
      <w:bookmarkStart w:id="133" w:name="_Hlk46068625"/>
      <w:r>
        <w:rPr>
          <w:rFonts w:hint="eastAsia" w:ascii="仿宋" w:hAnsi="仿宋" w:eastAsia="仿宋" w:cs="仿宋"/>
          <w:sz w:val="28"/>
          <w:szCs w:val="28"/>
        </w:rPr>
        <w:t>被评估企业于2</w:t>
      </w:r>
      <w:r>
        <w:rPr>
          <w:rFonts w:ascii="仿宋" w:hAnsi="仿宋" w:eastAsia="仿宋" w:cs="仿宋"/>
          <w:sz w:val="28"/>
          <w:szCs w:val="28"/>
        </w:rPr>
        <w:t>017</w:t>
      </w:r>
      <w:r>
        <w:rPr>
          <w:rFonts w:hint="eastAsia" w:ascii="仿宋" w:hAnsi="仿宋" w:eastAsia="仿宋" w:cs="仿宋"/>
          <w:sz w:val="28"/>
          <w:szCs w:val="28"/>
        </w:rPr>
        <w:t>年0</w:t>
      </w:r>
      <w:r>
        <w:rPr>
          <w:rFonts w:ascii="仿宋" w:hAnsi="仿宋" w:eastAsia="仿宋" w:cs="仿宋"/>
          <w:sz w:val="28"/>
          <w:szCs w:val="28"/>
        </w:rPr>
        <w:t>8</w:t>
      </w:r>
      <w:r>
        <w:rPr>
          <w:rFonts w:hint="eastAsia" w:ascii="仿宋" w:hAnsi="仿宋" w:eastAsia="仿宋" w:cs="仿宋"/>
          <w:sz w:val="28"/>
          <w:szCs w:val="28"/>
        </w:rPr>
        <w:t>月0</w:t>
      </w:r>
      <w:r>
        <w:rPr>
          <w:rFonts w:ascii="仿宋" w:hAnsi="仿宋" w:eastAsia="仿宋" w:cs="仿宋"/>
          <w:sz w:val="28"/>
          <w:szCs w:val="28"/>
        </w:rPr>
        <w:t>4</w:t>
      </w:r>
      <w:r>
        <w:rPr>
          <w:rFonts w:hint="eastAsia" w:ascii="仿宋" w:hAnsi="仿宋" w:eastAsia="仿宋" w:cs="仿宋"/>
          <w:sz w:val="28"/>
          <w:szCs w:val="28"/>
        </w:rPr>
        <w:t>日取得</w:t>
      </w:r>
      <w:bookmarkEnd w:id="133"/>
      <w:r>
        <w:rPr>
          <w:rFonts w:hint="eastAsia" w:ascii="仿宋" w:hAnsi="仿宋" w:eastAsia="仿宋" w:cs="仿宋"/>
          <w:sz w:val="28"/>
          <w:szCs w:val="28"/>
        </w:rPr>
        <w:t>“大环管（2</w:t>
      </w:r>
      <w:r>
        <w:rPr>
          <w:rFonts w:ascii="仿宋" w:hAnsi="仿宋" w:eastAsia="仿宋" w:cs="仿宋"/>
          <w:sz w:val="28"/>
          <w:szCs w:val="28"/>
        </w:rPr>
        <w:t>017</w:t>
      </w:r>
      <w:r>
        <w:rPr>
          <w:rFonts w:hint="eastAsia" w:ascii="仿宋" w:hAnsi="仿宋" w:eastAsia="仿宋" w:cs="仿宋"/>
          <w:sz w:val="28"/>
          <w:szCs w:val="28"/>
        </w:rPr>
        <w:t>）1</w:t>
      </w:r>
      <w:r>
        <w:rPr>
          <w:rFonts w:ascii="仿宋" w:hAnsi="仿宋" w:eastAsia="仿宋" w:cs="仿宋"/>
          <w:sz w:val="28"/>
          <w:szCs w:val="28"/>
        </w:rPr>
        <w:t>11</w:t>
      </w:r>
      <w:r>
        <w:rPr>
          <w:rFonts w:hint="eastAsia" w:ascii="仿宋" w:hAnsi="仿宋" w:eastAsia="仿宋" w:cs="仿宋"/>
          <w:sz w:val="28"/>
          <w:szCs w:val="28"/>
        </w:rPr>
        <w:t>号”关于</w:t>
      </w:r>
      <w:r>
        <w:rPr>
          <w:rFonts w:hint="eastAsia" w:ascii="仿宋" w:hAnsi="仿宋" w:eastAsia="仿宋" w:cs="仿宋"/>
          <w:color w:val="000000"/>
          <w:sz w:val="28"/>
          <w:szCs w:val="28"/>
        </w:rPr>
        <w:t>《</w:t>
      </w:r>
      <w:bookmarkStart w:id="134" w:name="_Hlk46068561"/>
      <w:r>
        <w:rPr>
          <w:rFonts w:hint="eastAsia" w:ascii="仿宋" w:hAnsi="仿宋" w:eastAsia="仿宋" w:cs="仿宋"/>
          <w:color w:val="000000"/>
          <w:sz w:val="28"/>
          <w:szCs w:val="28"/>
        </w:rPr>
        <w:t>江苏焦点</w:t>
      </w:r>
      <w:bookmarkEnd w:id="134"/>
      <w:r>
        <w:rPr>
          <w:rFonts w:hint="eastAsia" w:ascii="仿宋" w:hAnsi="仿宋" w:eastAsia="仿宋" w:cs="仿宋"/>
          <w:color w:val="000000"/>
          <w:sz w:val="28"/>
          <w:szCs w:val="28"/>
        </w:rPr>
        <w:t>粮食储运有限公司</w:t>
      </w:r>
      <w:bookmarkStart w:id="135" w:name="_Hlk46068580"/>
      <w:r>
        <w:rPr>
          <w:rFonts w:hint="eastAsia" w:ascii="仿宋" w:hAnsi="仿宋" w:eastAsia="仿宋" w:cs="仿宋"/>
          <w:color w:val="000000"/>
          <w:sz w:val="28"/>
          <w:szCs w:val="28"/>
        </w:rPr>
        <w:t>粮食仓储物流项目</w:t>
      </w:r>
      <w:bookmarkEnd w:id="135"/>
      <w:r>
        <w:rPr>
          <w:rFonts w:hint="eastAsia" w:ascii="仿宋" w:hAnsi="仿宋" w:eastAsia="仿宋" w:cs="仿宋"/>
          <w:color w:val="000000"/>
          <w:sz w:val="28"/>
          <w:szCs w:val="28"/>
        </w:rPr>
        <w:t>报名表》的审批意见，可以建设江苏焦点粮食仓储物流项目，年仓储粮食1</w:t>
      </w:r>
      <w:r>
        <w:rPr>
          <w:rFonts w:ascii="仿宋" w:hAnsi="仿宋" w:eastAsia="仿宋" w:cs="仿宋"/>
          <w:color w:val="000000"/>
          <w:sz w:val="28"/>
          <w:szCs w:val="28"/>
        </w:rPr>
        <w:t>0</w:t>
      </w:r>
      <w:r>
        <w:rPr>
          <w:rFonts w:hint="eastAsia" w:ascii="仿宋" w:hAnsi="仿宋" w:eastAsia="仿宋" w:cs="仿宋"/>
          <w:color w:val="000000"/>
          <w:sz w:val="28"/>
          <w:szCs w:val="28"/>
        </w:rPr>
        <w:t>万吨。</w:t>
      </w:r>
    </w:p>
    <w:p>
      <w:pPr>
        <w:spacing w:line="480" w:lineRule="exact"/>
        <w:ind w:firstLine="560" w:firstLineChars="200"/>
        <w:contextualSpacing/>
        <w:rPr>
          <w:rFonts w:ascii="仿宋" w:hAnsi="仿宋" w:eastAsia="仿宋" w:cs="仿宋"/>
          <w:sz w:val="28"/>
          <w:szCs w:val="28"/>
        </w:rPr>
      </w:pPr>
      <w:bookmarkStart w:id="136" w:name="_Hlk46068721"/>
      <w:r>
        <w:rPr>
          <w:rFonts w:hint="eastAsia" w:ascii="仿宋" w:hAnsi="仿宋" w:eastAsia="仿宋" w:cs="仿宋"/>
          <w:sz w:val="28"/>
          <w:szCs w:val="28"/>
        </w:rPr>
        <w:t>被评估企业于2</w:t>
      </w:r>
      <w:r>
        <w:rPr>
          <w:rFonts w:ascii="仿宋" w:hAnsi="仿宋" w:eastAsia="仿宋" w:cs="仿宋"/>
          <w:sz w:val="28"/>
          <w:szCs w:val="28"/>
        </w:rPr>
        <w:t>017</w:t>
      </w:r>
      <w:r>
        <w:rPr>
          <w:rFonts w:hint="eastAsia" w:ascii="仿宋" w:hAnsi="仿宋" w:eastAsia="仿宋" w:cs="仿宋"/>
          <w:sz w:val="28"/>
          <w:szCs w:val="28"/>
        </w:rPr>
        <w:t>年</w:t>
      </w:r>
      <w:r>
        <w:rPr>
          <w:rFonts w:ascii="仿宋" w:hAnsi="仿宋" w:eastAsia="仿宋" w:cs="仿宋"/>
          <w:sz w:val="28"/>
          <w:szCs w:val="28"/>
        </w:rPr>
        <w:t>10</w:t>
      </w:r>
      <w:r>
        <w:rPr>
          <w:rFonts w:hint="eastAsia" w:ascii="仿宋" w:hAnsi="仿宋" w:eastAsia="仿宋" w:cs="仿宋"/>
          <w:sz w:val="28"/>
          <w:szCs w:val="28"/>
        </w:rPr>
        <w:t>月</w:t>
      </w:r>
      <w:r>
        <w:rPr>
          <w:rFonts w:ascii="仿宋" w:hAnsi="仿宋" w:eastAsia="仿宋" w:cs="仿宋"/>
          <w:sz w:val="28"/>
          <w:szCs w:val="28"/>
        </w:rPr>
        <w:t>17</w:t>
      </w:r>
      <w:r>
        <w:rPr>
          <w:rFonts w:hint="eastAsia" w:ascii="仿宋" w:hAnsi="仿宋" w:eastAsia="仿宋" w:cs="仿宋"/>
          <w:sz w:val="28"/>
          <w:szCs w:val="28"/>
        </w:rPr>
        <w:t>日取得</w:t>
      </w:r>
      <w:bookmarkEnd w:id="136"/>
      <w:r>
        <w:rPr>
          <w:rFonts w:hint="eastAsia" w:ascii="仿宋" w:hAnsi="仿宋" w:eastAsia="仿宋" w:cs="仿宋"/>
          <w:sz w:val="28"/>
          <w:szCs w:val="28"/>
        </w:rPr>
        <w:t>“地字第大港规（2</w:t>
      </w:r>
      <w:r>
        <w:rPr>
          <w:rFonts w:ascii="仿宋" w:hAnsi="仿宋" w:eastAsia="仿宋" w:cs="仿宋"/>
          <w:sz w:val="28"/>
          <w:szCs w:val="28"/>
        </w:rPr>
        <w:t>017</w:t>
      </w:r>
      <w:r>
        <w:rPr>
          <w:rFonts w:hint="eastAsia" w:ascii="仿宋" w:hAnsi="仿宋" w:eastAsia="仿宋" w:cs="仿宋"/>
          <w:sz w:val="28"/>
          <w:szCs w:val="28"/>
        </w:rPr>
        <w:t>）三龙0</w:t>
      </w:r>
      <w:r>
        <w:rPr>
          <w:rFonts w:ascii="仿宋" w:hAnsi="仿宋" w:eastAsia="仿宋" w:cs="仿宋"/>
          <w:sz w:val="28"/>
          <w:szCs w:val="28"/>
        </w:rPr>
        <w:t>1</w:t>
      </w:r>
      <w:r>
        <w:rPr>
          <w:rFonts w:hint="eastAsia" w:ascii="仿宋" w:hAnsi="仿宋" w:eastAsia="仿宋" w:cs="仿宋"/>
          <w:sz w:val="28"/>
          <w:szCs w:val="28"/>
        </w:rPr>
        <w:t>号”建设用地规划许可证，用地面积6</w:t>
      </w:r>
      <w:r>
        <w:rPr>
          <w:rFonts w:ascii="仿宋" w:hAnsi="仿宋" w:eastAsia="仿宋" w:cs="仿宋"/>
          <w:sz w:val="28"/>
          <w:szCs w:val="28"/>
        </w:rPr>
        <w:t>4401</w:t>
      </w:r>
      <w:r>
        <w:rPr>
          <w:rFonts w:hint="eastAsia" w:ascii="仿宋" w:hAnsi="仿宋" w:eastAsia="仿宋" w:cs="仿宋"/>
          <w:sz w:val="28"/>
          <w:szCs w:val="28"/>
        </w:rPr>
        <w:t>平方米。</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被评估企业于2</w:t>
      </w:r>
      <w:r>
        <w:rPr>
          <w:rFonts w:ascii="仿宋" w:hAnsi="仿宋" w:eastAsia="仿宋" w:cs="仿宋"/>
          <w:sz w:val="28"/>
          <w:szCs w:val="28"/>
        </w:rPr>
        <w:t>018</w:t>
      </w:r>
      <w:r>
        <w:rPr>
          <w:rFonts w:hint="eastAsia" w:ascii="仿宋" w:hAnsi="仿宋" w:eastAsia="仿宋" w:cs="仿宋"/>
          <w:sz w:val="28"/>
          <w:szCs w:val="28"/>
        </w:rPr>
        <w:t>年</w:t>
      </w:r>
      <w:r>
        <w:rPr>
          <w:rFonts w:ascii="仿宋" w:hAnsi="仿宋" w:eastAsia="仿宋" w:cs="仿宋"/>
          <w:sz w:val="28"/>
          <w:szCs w:val="28"/>
        </w:rPr>
        <w:t>06</w:t>
      </w:r>
      <w:r>
        <w:rPr>
          <w:rFonts w:hint="eastAsia" w:ascii="仿宋" w:hAnsi="仿宋" w:eastAsia="仿宋" w:cs="仿宋"/>
          <w:sz w:val="28"/>
          <w:szCs w:val="28"/>
        </w:rPr>
        <w:t>月</w:t>
      </w:r>
      <w:r>
        <w:rPr>
          <w:rFonts w:ascii="仿宋" w:hAnsi="仿宋" w:eastAsia="仿宋" w:cs="仿宋"/>
          <w:sz w:val="28"/>
          <w:szCs w:val="28"/>
        </w:rPr>
        <w:t>20</w:t>
      </w:r>
      <w:r>
        <w:rPr>
          <w:rFonts w:hint="eastAsia" w:ascii="仿宋" w:hAnsi="仿宋" w:eastAsia="仿宋" w:cs="仿宋"/>
          <w:sz w:val="28"/>
          <w:szCs w:val="28"/>
        </w:rPr>
        <w:t>日取得“大行审备（2</w:t>
      </w:r>
      <w:r>
        <w:rPr>
          <w:rFonts w:ascii="仿宋" w:hAnsi="仿宋" w:eastAsia="仿宋" w:cs="仿宋"/>
          <w:sz w:val="28"/>
          <w:szCs w:val="28"/>
        </w:rPr>
        <w:t>018</w:t>
      </w:r>
      <w:r>
        <w:rPr>
          <w:rFonts w:hint="eastAsia" w:ascii="仿宋" w:hAnsi="仿宋" w:eastAsia="仿宋" w:cs="仿宋"/>
          <w:sz w:val="28"/>
          <w:szCs w:val="28"/>
        </w:rPr>
        <w:t>）3</w:t>
      </w:r>
      <w:r>
        <w:rPr>
          <w:rFonts w:ascii="仿宋" w:hAnsi="仿宋" w:eastAsia="仿宋" w:cs="仿宋"/>
          <w:sz w:val="28"/>
          <w:szCs w:val="28"/>
        </w:rPr>
        <w:t>98</w:t>
      </w:r>
      <w:r>
        <w:rPr>
          <w:rFonts w:hint="eastAsia" w:ascii="仿宋" w:hAnsi="仿宋" w:eastAsia="仿宋" w:cs="仿宋"/>
          <w:sz w:val="28"/>
          <w:szCs w:val="28"/>
        </w:rPr>
        <w:t>号”江苏省投资项目备案证，载明可建1</w:t>
      </w:r>
      <w:r>
        <w:rPr>
          <w:rFonts w:ascii="仿宋" w:hAnsi="仿宋" w:eastAsia="仿宋" w:cs="仿宋"/>
          <w:sz w:val="28"/>
          <w:szCs w:val="28"/>
        </w:rPr>
        <w:t>0</w:t>
      </w:r>
      <w:bookmarkStart w:id="137" w:name="_Hlk46068941"/>
      <w:r>
        <w:rPr>
          <w:rFonts w:hint="eastAsia" w:ascii="仿宋" w:hAnsi="仿宋" w:eastAsia="仿宋" w:cs="仿宋"/>
          <w:sz w:val="28"/>
          <w:szCs w:val="28"/>
        </w:rPr>
        <w:t>万吨储粮仓库、日产6</w:t>
      </w:r>
      <w:r>
        <w:rPr>
          <w:rFonts w:ascii="仿宋" w:hAnsi="仿宋" w:eastAsia="仿宋" w:cs="仿宋"/>
          <w:sz w:val="28"/>
          <w:szCs w:val="28"/>
        </w:rPr>
        <w:t>00</w:t>
      </w:r>
      <w:r>
        <w:rPr>
          <w:rFonts w:hint="eastAsia" w:ascii="仿宋" w:hAnsi="仿宋" w:eastAsia="仿宋" w:cs="仿宋"/>
          <w:sz w:val="28"/>
          <w:szCs w:val="28"/>
        </w:rPr>
        <w:t>吨粮食烘干线</w:t>
      </w:r>
      <w:bookmarkEnd w:id="137"/>
      <w:r>
        <w:rPr>
          <w:rFonts w:hint="eastAsia" w:ascii="仿宋" w:hAnsi="仿宋" w:eastAsia="仿宋" w:cs="仿宋"/>
          <w:sz w:val="28"/>
          <w:szCs w:val="28"/>
        </w:rPr>
        <w:t>等，一期建设3万吨储粮仓库、日产6</w:t>
      </w:r>
      <w:r>
        <w:rPr>
          <w:rFonts w:ascii="仿宋" w:hAnsi="仿宋" w:eastAsia="仿宋" w:cs="仿宋"/>
          <w:sz w:val="28"/>
          <w:szCs w:val="28"/>
        </w:rPr>
        <w:t>00</w:t>
      </w:r>
      <w:r>
        <w:rPr>
          <w:rFonts w:hint="eastAsia" w:ascii="仿宋" w:hAnsi="仿宋" w:eastAsia="仿宋" w:cs="仿宋"/>
          <w:sz w:val="28"/>
          <w:szCs w:val="28"/>
        </w:rPr>
        <w:t>吨粮食烘干线，总投资约4</w:t>
      </w:r>
      <w:r>
        <w:rPr>
          <w:rFonts w:ascii="仿宋" w:hAnsi="仿宋" w:eastAsia="仿宋" w:cs="仿宋"/>
          <w:sz w:val="28"/>
          <w:szCs w:val="28"/>
        </w:rPr>
        <w:t>500</w:t>
      </w:r>
      <w:r>
        <w:rPr>
          <w:rFonts w:hint="eastAsia" w:ascii="仿宋" w:hAnsi="仿宋" w:eastAsia="仿宋" w:cs="仿宋"/>
          <w:sz w:val="28"/>
          <w:szCs w:val="28"/>
        </w:rPr>
        <w:t>万。</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本次收益预测基于被评估企业所提供的资料，评估人员对被评估企业提供的企业未来经营进行了必要的分析、判断和调整，在考虑未来各种可能性及其影响的基础上合理确定评估假设，形成如下未来收益预测。</w:t>
      </w:r>
    </w:p>
    <w:p>
      <w:pPr>
        <w:pStyle w:val="4"/>
        <w:numPr>
          <w:ilvl w:val="0"/>
          <w:numId w:val="0"/>
        </w:numPr>
        <w:adjustRightInd/>
        <w:spacing w:before="0" w:after="0" w:line="480" w:lineRule="exact"/>
        <w:ind w:left="210" w:leftChars="100"/>
        <w:contextualSpacing/>
        <w:rPr>
          <w:rFonts w:ascii="仿宋" w:hAnsi="仿宋" w:eastAsia="仿宋" w:cs="仿宋"/>
          <w:sz w:val="28"/>
          <w:szCs w:val="28"/>
        </w:rPr>
      </w:pPr>
      <w:bookmarkStart w:id="138" w:name="_Toc30481"/>
      <w:r>
        <w:rPr>
          <w:rFonts w:hint="eastAsia" w:ascii="仿宋" w:hAnsi="仿宋" w:eastAsia="仿宋" w:cs="仿宋"/>
          <w:sz w:val="28"/>
          <w:szCs w:val="28"/>
        </w:rPr>
        <w:t>（一）未来收益期的确定</w:t>
      </w:r>
      <w:bookmarkEnd w:id="138"/>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本次评估采用有限年期作为收益期，以被评估企业主要固定资产的经济寿命年限为限。预测2020年07月01日至2068年6月21日的收益，其中2020年07月</w:t>
      </w:r>
      <w:r>
        <w:rPr>
          <w:rFonts w:ascii="仿宋" w:hAnsi="仿宋" w:eastAsia="仿宋" w:cs="仿宋"/>
          <w:sz w:val="28"/>
          <w:szCs w:val="28"/>
        </w:rPr>
        <w:t>0</w:t>
      </w:r>
      <w:r>
        <w:rPr>
          <w:rFonts w:hint="eastAsia" w:ascii="仿宋" w:hAnsi="仿宋" w:eastAsia="仿宋" w:cs="仿宋"/>
          <w:sz w:val="28"/>
          <w:szCs w:val="28"/>
        </w:rPr>
        <w:t>1日至202</w:t>
      </w:r>
      <w:r>
        <w:rPr>
          <w:rFonts w:ascii="仿宋" w:hAnsi="仿宋" w:eastAsia="仿宋" w:cs="仿宋"/>
          <w:sz w:val="28"/>
          <w:szCs w:val="28"/>
        </w:rPr>
        <w:t>2</w:t>
      </w:r>
      <w:r>
        <w:rPr>
          <w:rFonts w:hint="eastAsia" w:ascii="仿宋" w:hAnsi="仿宋" w:eastAsia="仿宋" w:cs="仿宋"/>
          <w:sz w:val="28"/>
          <w:szCs w:val="28"/>
        </w:rPr>
        <w:t>年</w:t>
      </w:r>
      <w:r>
        <w:rPr>
          <w:rFonts w:ascii="仿宋" w:hAnsi="仿宋" w:eastAsia="仿宋" w:cs="仿宋"/>
          <w:sz w:val="28"/>
          <w:szCs w:val="28"/>
        </w:rPr>
        <w:t>12</w:t>
      </w:r>
      <w:r>
        <w:rPr>
          <w:rFonts w:hint="eastAsia" w:ascii="仿宋" w:hAnsi="仿宋" w:eastAsia="仿宋" w:cs="仿宋"/>
          <w:sz w:val="28"/>
          <w:szCs w:val="28"/>
        </w:rPr>
        <w:t>月</w:t>
      </w:r>
      <w:r>
        <w:rPr>
          <w:rFonts w:ascii="仿宋" w:hAnsi="仿宋" w:eastAsia="仿宋" w:cs="仿宋"/>
          <w:sz w:val="28"/>
          <w:szCs w:val="28"/>
        </w:rPr>
        <w:t>31</w:t>
      </w:r>
      <w:r>
        <w:rPr>
          <w:rFonts w:hint="eastAsia" w:ascii="仿宋" w:hAnsi="仿宋" w:eastAsia="仿宋" w:cs="仿宋"/>
          <w:sz w:val="28"/>
          <w:szCs w:val="28"/>
        </w:rPr>
        <w:t>日为一期建设期，只有投入，没有收入；20</w:t>
      </w:r>
      <w:r>
        <w:rPr>
          <w:rFonts w:ascii="仿宋" w:hAnsi="仿宋" w:eastAsia="仿宋" w:cs="仿宋"/>
          <w:sz w:val="28"/>
          <w:szCs w:val="28"/>
        </w:rPr>
        <w:t>23</w:t>
      </w:r>
      <w:r>
        <w:rPr>
          <w:rFonts w:hint="eastAsia" w:ascii="仿宋" w:hAnsi="仿宋" w:eastAsia="仿宋" w:cs="仿宋"/>
          <w:sz w:val="28"/>
          <w:szCs w:val="28"/>
        </w:rPr>
        <w:t>年0</w:t>
      </w:r>
      <w:r>
        <w:rPr>
          <w:rFonts w:ascii="仿宋" w:hAnsi="仿宋" w:eastAsia="仿宋" w:cs="仿宋"/>
          <w:sz w:val="28"/>
          <w:szCs w:val="28"/>
        </w:rPr>
        <w:t>1</w:t>
      </w:r>
      <w:r>
        <w:rPr>
          <w:rFonts w:hint="eastAsia" w:ascii="仿宋" w:hAnsi="仿宋" w:eastAsia="仿宋" w:cs="仿宋"/>
          <w:sz w:val="28"/>
          <w:szCs w:val="28"/>
        </w:rPr>
        <w:t>月01日至202</w:t>
      </w:r>
      <w:r>
        <w:rPr>
          <w:rFonts w:ascii="仿宋" w:hAnsi="仿宋" w:eastAsia="仿宋" w:cs="仿宋"/>
          <w:sz w:val="28"/>
          <w:szCs w:val="28"/>
        </w:rPr>
        <w:t>5</w:t>
      </w:r>
      <w:r>
        <w:rPr>
          <w:rFonts w:hint="eastAsia" w:ascii="仿宋" w:hAnsi="仿宋" w:eastAsia="仿宋" w:cs="仿宋"/>
          <w:sz w:val="28"/>
          <w:szCs w:val="28"/>
        </w:rPr>
        <w:t>年</w:t>
      </w:r>
      <w:r>
        <w:rPr>
          <w:rFonts w:ascii="仿宋" w:hAnsi="仿宋" w:eastAsia="仿宋" w:cs="仿宋"/>
          <w:sz w:val="28"/>
          <w:szCs w:val="28"/>
        </w:rPr>
        <w:t>12</w:t>
      </w:r>
      <w:r>
        <w:rPr>
          <w:rFonts w:hint="eastAsia" w:ascii="仿宋" w:hAnsi="仿宋" w:eastAsia="仿宋" w:cs="仿宋"/>
          <w:sz w:val="28"/>
          <w:szCs w:val="28"/>
        </w:rPr>
        <w:t>月3</w:t>
      </w:r>
      <w:r>
        <w:rPr>
          <w:rFonts w:ascii="仿宋" w:hAnsi="仿宋" w:eastAsia="仿宋" w:cs="仿宋"/>
          <w:sz w:val="28"/>
          <w:szCs w:val="28"/>
        </w:rPr>
        <w:t>1</w:t>
      </w:r>
      <w:r>
        <w:rPr>
          <w:rFonts w:hint="eastAsia" w:ascii="仿宋" w:hAnsi="仿宋" w:eastAsia="仿宋" w:cs="仿宋"/>
          <w:sz w:val="28"/>
          <w:szCs w:val="28"/>
        </w:rPr>
        <w:t>日为二期建设期，一期建设竣工并投入生产，产生收入；2026年</w:t>
      </w:r>
      <w:r>
        <w:rPr>
          <w:rFonts w:ascii="仿宋" w:hAnsi="仿宋" w:eastAsia="仿宋" w:cs="仿宋"/>
          <w:sz w:val="28"/>
          <w:szCs w:val="28"/>
        </w:rPr>
        <w:t>01</w:t>
      </w:r>
      <w:r>
        <w:rPr>
          <w:rFonts w:hint="eastAsia" w:ascii="仿宋" w:hAnsi="仿宋" w:eastAsia="仿宋" w:cs="仿宋"/>
          <w:sz w:val="28"/>
          <w:szCs w:val="28"/>
        </w:rPr>
        <w:t>月01日至2068年06月21日为企业正常经营期。</w:t>
      </w:r>
    </w:p>
    <w:p>
      <w:pPr>
        <w:spacing w:line="480" w:lineRule="exact"/>
        <w:ind w:left="420" w:leftChars="200"/>
        <w:contextualSpacing/>
        <w:rPr>
          <w:rFonts w:ascii="仿宋" w:hAnsi="仿宋" w:eastAsia="仿宋" w:cs="仿宋"/>
          <w:b/>
          <w:sz w:val="28"/>
          <w:szCs w:val="28"/>
        </w:rPr>
      </w:pPr>
      <w:r>
        <w:rPr>
          <w:rFonts w:hint="eastAsia" w:ascii="仿宋" w:hAnsi="仿宋" w:eastAsia="仿宋" w:cs="仿宋"/>
          <w:b/>
          <w:sz w:val="28"/>
          <w:szCs w:val="28"/>
        </w:rPr>
        <w:t>（二）测算参数取值</w:t>
      </w:r>
    </w:p>
    <w:tbl>
      <w:tblPr>
        <w:tblStyle w:val="54"/>
        <w:tblW w:w="8990" w:type="dxa"/>
        <w:tblInd w:w="0" w:type="dxa"/>
        <w:tblLayout w:type="autofit"/>
        <w:tblCellMar>
          <w:top w:w="0" w:type="dxa"/>
          <w:left w:w="0" w:type="dxa"/>
          <w:bottom w:w="0" w:type="dxa"/>
          <w:right w:w="0" w:type="dxa"/>
        </w:tblCellMar>
      </w:tblPr>
      <w:tblGrid>
        <w:gridCol w:w="1751"/>
        <w:gridCol w:w="891"/>
        <w:gridCol w:w="1160"/>
        <w:gridCol w:w="5188"/>
      </w:tblGrid>
      <w:tr>
        <w:tblPrEx>
          <w:tblCellMar>
            <w:top w:w="0" w:type="dxa"/>
            <w:left w:w="0" w:type="dxa"/>
            <w:bottom w:w="0" w:type="dxa"/>
            <w:right w:w="0" w:type="dxa"/>
          </w:tblCellMar>
        </w:tblPrEx>
        <w:trPr>
          <w:trHeight w:val="270" w:hRule="atLeast"/>
        </w:trPr>
        <w:tc>
          <w:tcPr>
            <w:tcW w:w="8990" w:type="dxa"/>
            <w:gridSpan w:val="4"/>
            <w:tcBorders>
              <w:top w:val="nil"/>
              <w:left w:val="nil"/>
              <w:bottom w:val="nil"/>
              <w:right w:val="nil"/>
            </w:tcBorders>
            <w:shd w:val="clear" w:color="auto" w:fill="auto"/>
            <w:noWrap/>
            <w:tcMar>
              <w:top w:w="15" w:type="dxa"/>
              <w:left w:w="15" w:type="dxa"/>
              <w:right w:w="15" w:type="dxa"/>
            </w:tcMar>
            <w:vAlign w:val="center"/>
          </w:tcPr>
          <w:p>
            <w:pPr>
              <w:widowControl/>
              <w:spacing w:line="480" w:lineRule="exact"/>
              <w:jc w:val="center"/>
              <w:textAlignment w:val="center"/>
              <w:rPr>
                <w:rFonts w:ascii="仿宋" w:hAnsi="仿宋" w:eastAsia="仿宋" w:cs="仿宋"/>
                <w:color w:val="000000"/>
                <w:sz w:val="22"/>
                <w:szCs w:val="22"/>
              </w:rPr>
            </w:pPr>
            <w:r>
              <w:rPr>
                <w:rFonts w:hint="eastAsia" w:ascii="仿宋" w:hAnsi="仿宋" w:eastAsia="仿宋" w:cs="仿宋"/>
                <w:sz w:val="28"/>
                <w:szCs w:val="28"/>
              </w:rPr>
              <w:t>参数取值</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取值</w:t>
            </w:r>
          </w:p>
        </w:tc>
        <w:tc>
          <w:tcPr>
            <w:tcW w:w="5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备注</w:t>
            </w:r>
          </w:p>
        </w:tc>
      </w:tr>
      <w:tr>
        <w:tblPrEx>
          <w:tblCellMar>
            <w:top w:w="0" w:type="dxa"/>
            <w:left w:w="0" w:type="dxa"/>
            <w:bottom w:w="0" w:type="dxa"/>
            <w:right w:w="0"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仓储毛利润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出租价格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50元/吨.年</w:t>
            </w:r>
          </w:p>
        </w:tc>
        <w:tc>
          <w:tcPr>
            <w:tcW w:w="5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按目前的市场价</w:t>
            </w:r>
          </w:p>
        </w:tc>
      </w:tr>
      <w:tr>
        <w:tblPrEx>
          <w:tblCellMar>
            <w:top w:w="0" w:type="dxa"/>
            <w:left w:w="0" w:type="dxa"/>
            <w:bottom w:w="0" w:type="dxa"/>
            <w:right w:w="0"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left"/>
              <w:rPr>
                <w:rFonts w:ascii="仿宋" w:hAnsi="仿宋" w:eastAsia="仿宋" w:cs="仿宋"/>
                <w:color w:val="000000"/>
                <w:szCs w:val="21"/>
                <w:lang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出租率</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第一阶段7</w:t>
            </w:r>
            <w:r>
              <w:rPr>
                <w:rFonts w:ascii="仿宋" w:hAnsi="仿宋" w:eastAsia="仿宋" w:cs="仿宋"/>
                <w:color w:val="000000"/>
                <w:szCs w:val="21"/>
                <w:lang w:bidi="ar"/>
              </w:rPr>
              <w:t>0</w:t>
            </w:r>
            <w:r>
              <w:rPr>
                <w:rFonts w:hint="eastAsia" w:ascii="仿宋" w:hAnsi="仿宋" w:eastAsia="仿宋" w:cs="仿宋"/>
                <w:color w:val="000000"/>
                <w:szCs w:val="21"/>
                <w:lang w:bidi="ar"/>
              </w:rPr>
              <w:t>%-8</w:t>
            </w:r>
            <w:r>
              <w:rPr>
                <w:rFonts w:ascii="仿宋" w:hAnsi="仿宋" w:eastAsia="仿宋" w:cs="仿宋"/>
                <w:color w:val="000000"/>
                <w:szCs w:val="21"/>
                <w:lang w:bidi="ar"/>
              </w:rPr>
              <w:t>0</w:t>
            </w:r>
            <w:r>
              <w:rPr>
                <w:rFonts w:hint="eastAsia" w:ascii="仿宋" w:hAnsi="仿宋" w:eastAsia="仿宋" w:cs="仿宋"/>
                <w:color w:val="000000"/>
                <w:szCs w:val="21"/>
                <w:lang w:bidi="ar"/>
              </w:rPr>
              <w:t>%</w:t>
            </w:r>
          </w:p>
        </w:tc>
        <w:tc>
          <w:tcPr>
            <w:tcW w:w="5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left"/>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数量少（3万吨，建筑面积约2.4万m</w:t>
            </w:r>
            <w:r>
              <w:rPr>
                <w:rFonts w:hint="eastAsia" w:ascii="仿宋" w:hAnsi="仿宋" w:eastAsia="仿宋" w:cs="仿宋"/>
                <w:color w:val="000000"/>
                <w:szCs w:val="21"/>
                <w:vertAlign w:val="superscript"/>
                <w:lang w:bidi="ar"/>
              </w:rPr>
              <w:t>2</w:t>
            </w:r>
            <w:r>
              <w:rPr>
                <w:rFonts w:hint="eastAsia" w:ascii="仿宋" w:hAnsi="仿宋" w:eastAsia="仿宋" w:cs="仿宋"/>
                <w:color w:val="000000"/>
                <w:szCs w:val="21"/>
                <w:lang w:bidi="ar"/>
              </w:rPr>
              <w:t>）</w:t>
            </w: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320" w:lineRule="exact"/>
              <w:jc w:val="left"/>
              <w:rPr>
                <w:rFonts w:ascii="仿宋" w:hAnsi="仿宋" w:eastAsia="仿宋" w:cs="仿宋"/>
                <w:color w:val="000000"/>
                <w:szCs w:val="21"/>
                <w:lang w:bidi="ar"/>
              </w:rPr>
            </w:pP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rPr>
                <w:rFonts w:ascii="仿宋" w:hAnsi="仿宋" w:eastAsia="仿宋" w:cs="仿宋"/>
                <w:color w:val="000000"/>
                <w:szCs w:val="21"/>
                <w:lang w:bidi="ar"/>
              </w:rPr>
            </w:pPr>
          </w:p>
        </w:tc>
        <w:tc>
          <w:tcPr>
            <w:tcW w:w="11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第二阶段7</w:t>
            </w:r>
            <w:r>
              <w:rPr>
                <w:rFonts w:ascii="仿宋" w:hAnsi="仿宋" w:eastAsia="仿宋" w:cs="仿宋"/>
                <w:color w:val="000000"/>
                <w:szCs w:val="21"/>
                <w:lang w:bidi="ar"/>
              </w:rPr>
              <w:t>0</w:t>
            </w:r>
            <w:r>
              <w:rPr>
                <w:rFonts w:hint="eastAsia" w:ascii="仿宋" w:hAnsi="仿宋" w:eastAsia="仿宋" w:cs="仿宋"/>
                <w:color w:val="000000"/>
                <w:szCs w:val="21"/>
                <w:lang w:bidi="ar"/>
              </w:rPr>
              <w:t>%-</w:t>
            </w:r>
            <w:r>
              <w:rPr>
                <w:rFonts w:ascii="仿宋" w:hAnsi="仿宋" w:eastAsia="仿宋" w:cs="仿宋"/>
                <w:color w:val="000000"/>
                <w:szCs w:val="21"/>
                <w:lang w:bidi="ar"/>
              </w:rPr>
              <w:t>90</w:t>
            </w:r>
            <w:r>
              <w:rPr>
                <w:rFonts w:hint="eastAsia" w:ascii="仿宋" w:hAnsi="仿宋" w:eastAsia="仿宋" w:cs="仿宋"/>
                <w:color w:val="000000"/>
                <w:szCs w:val="21"/>
                <w:lang w:bidi="ar"/>
              </w:rPr>
              <w:t>%</w:t>
            </w:r>
          </w:p>
        </w:tc>
        <w:tc>
          <w:tcPr>
            <w:tcW w:w="50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20" w:lineRule="exact"/>
              <w:jc w:val="left"/>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数量多（10万吨，建筑面积约7.7万m</w:t>
            </w:r>
            <w:r>
              <w:rPr>
                <w:rFonts w:hint="eastAsia" w:ascii="仿宋" w:hAnsi="仿宋" w:eastAsia="仿宋" w:cs="仿宋"/>
                <w:color w:val="000000"/>
                <w:szCs w:val="21"/>
                <w:vertAlign w:val="superscript"/>
                <w:lang w:bidi="ar"/>
              </w:rPr>
              <w:t>2</w:t>
            </w:r>
            <w:r>
              <w:rPr>
                <w:rFonts w:hint="eastAsia" w:ascii="仿宋" w:hAnsi="仿宋" w:eastAsia="仿宋" w:cs="仿宋"/>
                <w:color w:val="000000"/>
                <w:szCs w:val="21"/>
                <w:lang w:bidi="ar"/>
              </w:rPr>
              <w:t>）</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烘干线加工毛利润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单位收费</w:t>
            </w:r>
          </w:p>
        </w:tc>
        <w:tc>
          <w:tcPr>
            <w:tcW w:w="11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ascii="仿宋" w:hAnsi="仿宋" w:eastAsia="仿宋" w:cs="仿宋"/>
                <w:color w:val="000000"/>
                <w:szCs w:val="21"/>
                <w:lang w:bidi="ar"/>
              </w:rPr>
              <w:t>9</w:t>
            </w:r>
            <w:r>
              <w:rPr>
                <w:rFonts w:hint="eastAsia" w:ascii="仿宋" w:hAnsi="仿宋" w:eastAsia="仿宋" w:cs="仿宋"/>
                <w:color w:val="000000"/>
                <w:szCs w:val="21"/>
                <w:lang w:bidi="ar"/>
              </w:rPr>
              <w:t>0元/吨</w:t>
            </w:r>
          </w:p>
        </w:tc>
        <w:tc>
          <w:tcPr>
            <w:tcW w:w="50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参照市场上加工收费进行取值</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left"/>
              <w:rPr>
                <w:rFonts w:ascii="仿宋" w:hAnsi="仿宋" w:eastAsia="仿宋" w:cs="仿宋"/>
                <w:color w:val="000000"/>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单位成本</w:t>
            </w:r>
          </w:p>
        </w:tc>
        <w:tc>
          <w:tcPr>
            <w:tcW w:w="11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60元/吨</w:t>
            </w:r>
          </w:p>
        </w:tc>
        <w:tc>
          <w:tcPr>
            <w:tcW w:w="50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 w:hAnsi="仿宋" w:eastAsia="仿宋" w:cs="仿宋"/>
                <w:color w:val="000000"/>
                <w:szCs w:val="21"/>
                <w:lang w:bidi="ar"/>
              </w:rPr>
            </w:pPr>
            <w:r>
              <w:rPr>
                <w:rFonts w:hint="eastAsia" w:ascii="仿宋" w:hAnsi="仿宋" w:eastAsia="仿宋" w:cs="仿宋"/>
                <w:color w:val="000000"/>
                <w:szCs w:val="21"/>
                <w:lang w:bidi="ar"/>
              </w:rPr>
              <w:t>含机械费、人工费及相应税金</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粮食转换毛利润</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单位收费</w:t>
            </w:r>
          </w:p>
        </w:tc>
        <w:tc>
          <w:tcPr>
            <w:tcW w:w="11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50元/吨</w:t>
            </w:r>
          </w:p>
        </w:tc>
        <w:tc>
          <w:tcPr>
            <w:tcW w:w="50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参照市场上收费进行取值，二年全部转换，一年转换50%</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left"/>
              <w:rPr>
                <w:rFonts w:ascii="仿宋" w:hAnsi="仿宋" w:eastAsia="仿宋" w:cs="仿宋"/>
                <w:color w:val="000000"/>
                <w:szCs w:val="21"/>
                <w:lang w:bidi="ar"/>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单位成本</w:t>
            </w:r>
          </w:p>
        </w:tc>
        <w:tc>
          <w:tcPr>
            <w:tcW w:w="11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15元/吨</w:t>
            </w:r>
          </w:p>
        </w:tc>
        <w:tc>
          <w:tcPr>
            <w:tcW w:w="50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 w:hAnsi="仿宋" w:eastAsia="仿宋" w:cs="仿宋"/>
                <w:color w:val="000000"/>
                <w:szCs w:val="21"/>
                <w:lang w:bidi="ar"/>
              </w:rPr>
            </w:pPr>
            <w:r>
              <w:rPr>
                <w:rFonts w:hint="eastAsia" w:ascii="仿宋" w:hAnsi="仿宋" w:eastAsia="仿宋" w:cs="仿宋"/>
                <w:color w:val="000000"/>
                <w:szCs w:val="21"/>
                <w:lang w:bidi="ar"/>
              </w:rPr>
              <w:t>含机械费、人工费及相应税金</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企业所得税</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25%</w:t>
            </w:r>
          </w:p>
        </w:tc>
        <w:tc>
          <w:tcPr>
            <w:tcW w:w="5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p>
        </w:tc>
      </w:tr>
      <w:tr>
        <w:tblPrEx>
          <w:tblCellMar>
            <w:top w:w="0" w:type="dxa"/>
            <w:left w:w="0" w:type="dxa"/>
            <w:bottom w:w="0" w:type="dxa"/>
            <w:right w:w="0" w:type="dxa"/>
          </w:tblCellMar>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折现率</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ascii="仿宋" w:hAnsi="仿宋" w:eastAsia="仿宋" w:cs="仿宋"/>
                <w:color w:val="000000"/>
                <w:szCs w:val="21"/>
                <w:lang w:bidi="ar"/>
              </w:rPr>
              <w:t>7</w:t>
            </w:r>
            <w:r>
              <w:rPr>
                <w:rFonts w:hint="eastAsia" w:ascii="仿宋" w:hAnsi="仿宋" w:eastAsia="仿宋" w:cs="仿宋"/>
                <w:color w:val="000000"/>
                <w:szCs w:val="21"/>
                <w:lang w:bidi="ar"/>
              </w:rPr>
              <w:t>%</w:t>
            </w:r>
          </w:p>
        </w:tc>
        <w:tc>
          <w:tcPr>
            <w:tcW w:w="5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综合考虑银行的存贷款利率、行业特点取值</w:t>
            </w:r>
          </w:p>
        </w:tc>
      </w:tr>
      <w:tr>
        <w:tblPrEx>
          <w:tblCellMar>
            <w:top w:w="0" w:type="dxa"/>
            <w:left w:w="0" w:type="dxa"/>
            <w:bottom w:w="0" w:type="dxa"/>
            <w:right w:w="0" w:type="dxa"/>
          </w:tblCellMar>
        </w:tblPrEx>
        <w:trPr>
          <w:trHeight w:val="5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净收益年均增长率</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ascii="仿宋" w:hAnsi="仿宋" w:eastAsia="仿宋" w:cs="仿宋"/>
                <w:color w:val="000000"/>
                <w:szCs w:val="21"/>
                <w:lang w:bidi="ar"/>
              </w:rPr>
              <w:t>5</w:t>
            </w:r>
            <w:r>
              <w:rPr>
                <w:rFonts w:hint="eastAsia" w:ascii="仿宋" w:hAnsi="仿宋" w:eastAsia="仿宋" w:cs="仿宋"/>
                <w:color w:val="000000"/>
                <w:szCs w:val="21"/>
                <w:lang w:bidi="ar"/>
              </w:rPr>
              <w:t>%</w:t>
            </w:r>
          </w:p>
        </w:tc>
        <w:tc>
          <w:tcPr>
            <w:tcW w:w="5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根据行业特点与整个环境状况进行设定</w:t>
            </w:r>
          </w:p>
        </w:tc>
      </w:tr>
      <w:tr>
        <w:tblPrEx>
          <w:tblCellMar>
            <w:top w:w="0" w:type="dxa"/>
            <w:left w:w="0" w:type="dxa"/>
            <w:bottom w:w="0" w:type="dxa"/>
            <w:right w:w="0" w:type="dxa"/>
          </w:tblCellMar>
        </w:tblPrEx>
        <w:trPr>
          <w:trHeight w:val="24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固定资产投资</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ascii="仿宋" w:hAnsi="仿宋" w:eastAsia="仿宋" w:cs="仿宋"/>
                <w:color w:val="000000"/>
                <w:szCs w:val="21"/>
                <w:lang w:bidi="ar"/>
              </w:rPr>
            </w:pPr>
            <w:r>
              <w:rPr>
                <w:rFonts w:hint="eastAsia" w:ascii="仿宋" w:hAnsi="仿宋" w:eastAsia="仿宋" w:cs="仿宋"/>
                <w:color w:val="000000"/>
                <w:szCs w:val="21"/>
                <w:lang w:bidi="ar"/>
              </w:rPr>
              <w:t>主要是建筑物（构筑物），含码头、烘干线等，根据企业 提供的资料分二期建设，一期总投入约4500万，其中建筑物约2.4万平方米，还有码头和烘干线、围墙等配套设施；二期主要为仓储（建筑物约5.3万平方米）。建筑物重置成本约1500元/平方米。一期建设期约三年，从2020年07月01日起计，至2023年06月30日竣工投入生产运营；二期设定于2023年07月01日开始建设，周期三年，于2026年06月</w:t>
            </w:r>
            <w:r>
              <w:rPr>
                <w:rFonts w:ascii="仿宋" w:hAnsi="仿宋" w:eastAsia="仿宋" w:cs="仿宋"/>
                <w:color w:val="000000"/>
                <w:szCs w:val="21"/>
                <w:lang w:bidi="ar"/>
              </w:rPr>
              <w:t>21</w:t>
            </w:r>
            <w:r>
              <w:rPr>
                <w:rFonts w:hint="eastAsia" w:ascii="仿宋" w:hAnsi="仿宋" w:eastAsia="仿宋" w:cs="仿宋"/>
                <w:color w:val="000000"/>
                <w:szCs w:val="21"/>
                <w:lang w:bidi="ar"/>
              </w:rPr>
              <w:t>日竣工投入生产运营。</w:t>
            </w:r>
          </w:p>
        </w:tc>
      </w:tr>
    </w:tbl>
    <w:p>
      <w:pPr>
        <w:pStyle w:val="4"/>
        <w:numPr>
          <w:ilvl w:val="0"/>
          <w:numId w:val="11"/>
        </w:numPr>
        <w:adjustRightInd/>
        <w:spacing w:before="0" w:after="0" w:line="480" w:lineRule="exact"/>
        <w:contextualSpacing/>
        <w:rPr>
          <w:rFonts w:ascii="仿宋" w:hAnsi="仿宋" w:eastAsia="仿宋" w:cs="仿宋"/>
          <w:sz w:val="28"/>
          <w:szCs w:val="28"/>
        </w:rPr>
      </w:pPr>
      <w:bookmarkStart w:id="139" w:name="_Toc11441"/>
      <w:r>
        <w:rPr>
          <w:rFonts w:hint="eastAsia" w:ascii="仿宋" w:hAnsi="仿宋" w:eastAsia="仿宋" w:cs="仿宋"/>
          <w:sz w:val="28"/>
          <w:szCs w:val="28"/>
        </w:rPr>
        <w:t>未来净收益的预测</w:t>
      </w:r>
      <w:bookmarkEnd w:id="139"/>
    </w:p>
    <w:p>
      <w:pPr>
        <w:numPr>
          <w:ilvl w:val="0"/>
          <w:numId w:val="12"/>
        </w:numPr>
        <w:spacing w:line="480" w:lineRule="exact"/>
        <w:rPr>
          <w:rFonts w:ascii="仿宋" w:hAnsi="仿宋" w:eastAsia="仿宋" w:cs="仿宋"/>
          <w:b/>
          <w:bCs/>
          <w:sz w:val="28"/>
        </w:rPr>
      </w:pPr>
      <w:r>
        <w:rPr>
          <w:rFonts w:hint="eastAsia" w:ascii="仿宋" w:hAnsi="仿宋" w:eastAsia="仿宋" w:cs="仿宋"/>
          <w:b/>
          <w:bCs/>
          <w:sz w:val="28"/>
          <w:szCs w:val="28"/>
        </w:rPr>
        <w:t>营业收入的预测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被评估企业为农产品加工行业，在未来正运运转起来，生产经营相对稳定，业务模式及经营业绩情况如下：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（1）仓储，企业可分二期建设</w:t>
      </w:r>
      <w:bookmarkStart w:id="140" w:name="_Hlk46069794"/>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t>万吨的粮食仓储容量</w:t>
      </w:r>
      <w:bookmarkEnd w:id="140"/>
      <w:r>
        <w:rPr>
          <w:rFonts w:hint="eastAsia" w:ascii="仿宋" w:hAnsi="仿宋" w:eastAsia="仿宋" w:cs="仿宋"/>
          <w:sz w:val="28"/>
          <w:szCs w:val="28"/>
        </w:rPr>
        <w:t>，一期设定建设期约2.5年，建设</w:t>
      </w:r>
      <w:bookmarkStart w:id="141" w:name="_Hlk46069863"/>
      <w:r>
        <w:rPr>
          <w:rFonts w:ascii="仿宋" w:hAnsi="仿宋" w:eastAsia="仿宋" w:cs="仿宋"/>
          <w:sz w:val="28"/>
          <w:szCs w:val="28"/>
        </w:rPr>
        <w:t>3</w:t>
      </w:r>
      <w:r>
        <w:rPr>
          <w:rFonts w:hint="eastAsia" w:ascii="仿宋" w:hAnsi="仿宋" w:eastAsia="仿宋" w:cs="仿宋"/>
          <w:sz w:val="28"/>
          <w:szCs w:val="28"/>
        </w:rPr>
        <w:t>万吨的粮食仓储</w:t>
      </w:r>
      <w:bookmarkEnd w:id="141"/>
      <w:r>
        <w:rPr>
          <w:rFonts w:hint="eastAsia" w:ascii="仿宋" w:hAnsi="仿宋" w:eastAsia="仿宋" w:cs="仿宋"/>
          <w:sz w:val="28"/>
          <w:szCs w:val="28"/>
        </w:rPr>
        <w:t>与日加工（烘干）6</w:t>
      </w:r>
      <w:r>
        <w:rPr>
          <w:rFonts w:ascii="仿宋" w:hAnsi="仿宋" w:eastAsia="仿宋" w:cs="仿宋"/>
          <w:sz w:val="28"/>
          <w:szCs w:val="28"/>
        </w:rPr>
        <w:t>00</w:t>
      </w:r>
      <w:r>
        <w:rPr>
          <w:rFonts w:hint="eastAsia" w:ascii="仿宋" w:hAnsi="仿宋" w:eastAsia="仿宋" w:cs="仿宋"/>
          <w:sz w:val="28"/>
          <w:szCs w:val="28"/>
        </w:rPr>
        <w:t>吨粮食；二期设定建设期约3年，建设</w:t>
      </w:r>
      <w:r>
        <w:rPr>
          <w:rFonts w:ascii="仿宋" w:hAnsi="仿宋" w:eastAsia="仿宋" w:cs="仿宋"/>
          <w:sz w:val="28"/>
          <w:szCs w:val="28"/>
        </w:rPr>
        <w:t>7</w:t>
      </w:r>
      <w:r>
        <w:rPr>
          <w:rFonts w:hint="eastAsia" w:ascii="仿宋" w:hAnsi="仿宋" w:eastAsia="仿宋" w:cs="仿宋"/>
          <w:sz w:val="28"/>
          <w:szCs w:val="28"/>
        </w:rPr>
        <w:t>万吨的粮食仓储。</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（2）烘干加工，设定被评估企业在一期建设好日加工6</w:t>
      </w:r>
      <w:r>
        <w:rPr>
          <w:rFonts w:ascii="仿宋" w:hAnsi="仿宋" w:eastAsia="仿宋" w:cs="仿宋"/>
          <w:sz w:val="28"/>
          <w:szCs w:val="28"/>
        </w:rPr>
        <w:t>00</w:t>
      </w:r>
      <w:r>
        <w:rPr>
          <w:rFonts w:hint="eastAsia" w:ascii="仿宋" w:hAnsi="仿宋" w:eastAsia="仿宋" w:cs="仿宋"/>
          <w:sz w:val="28"/>
          <w:szCs w:val="28"/>
        </w:rPr>
        <w:t>吨的烘干线。</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bookmarkStart w:id="142" w:name="_Hlk46070079"/>
      <w:r>
        <w:rPr>
          <w:rFonts w:hint="eastAsia" w:ascii="仿宋" w:hAnsi="仿宋" w:eastAsia="仿宋" w:cs="仿宋"/>
          <w:sz w:val="28"/>
          <w:szCs w:val="28"/>
        </w:rPr>
        <w:t>粮食</w:t>
      </w:r>
      <w:bookmarkEnd w:id="142"/>
      <w:bookmarkStart w:id="143" w:name="_Hlk46070072"/>
      <w:r>
        <w:rPr>
          <w:rFonts w:hint="eastAsia" w:ascii="仿宋" w:hAnsi="仿宋" w:eastAsia="仿宋" w:cs="仿宋"/>
          <w:sz w:val="28"/>
          <w:szCs w:val="28"/>
        </w:rPr>
        <w:t>仓储</w:t>
      </w:r>
      <w:bookmarkEnd w:id="143"/>
      <w:r>
        <w:rPr>
          <w:rFonts w:hint="eastAsia" w:ascii="仿宋" w:hAnsi="仿宋" w:eastAsia="仿宋" w:cs="仿宋"/>
          <w:sz w:val="28"/>
          <w:szCs w:val="28"/>
        </w:rPr>
        <w:t>转换，根据行业的特点，平均每2年，仓储粮食必须转换一次，本次评估设定该项业务每年转换0.</w:t>
      </w:r>
      <w:r>
        <w:rPr>
          <w:rFonts w:ascii="仿宋" w:hAnsi="仿宋" w:eastAsia="仿宋" w:cs="仿宋"/>
          <w:sz w:val="28"/>
          <w:szCs w:val="28"/>
        </w:rPr>
        <w:t>5</w:t>
      </w:r>
      <w:r>
        <w:rPr>
          <w:rFonts w:hint="eastAsia" w:ascii="仿宋" w:hAnsi="仿宋" w:eastAsia="仿宋" w:cs="仿宋"/>
          <w:sz w:val="28"/>
          <w:szCs w:val="28"/>
        </w:rPr>
        <w:t>次进行收入预测。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具体收入预测如下表：</w:t>
      </w:r>
    </w:p>
    <w:tbl>
      <w:tblPr>
        <w:tblStyle w:val="54"/>
        <w:tblW w:w="9498" w:type="dxa"/>
        <w:tblInd w:w="-34" w:type="dxa"/>
        <w:tblLayout w:type="fixed"/>
        <w:tblCellMar>
          <w:top w:w="0" w:type="dxa"/>
          <w:left w:w="108" w:type="dxa"/>
          <w:bottom w:w="0" w:type="dxa"/>
          <w:right w:w="108" w:type="dxa"/>
        </w:tblCellMar>
      </w:tblPr>
      <w:tblGrid>
        <w:gridCol w:w="568"/>
        <w:gridCol w:w="1134"/>
        <w:gridCol w:w="866"/>
        <w:gridCol w:w="866"/>
        <w:gridCol w:w="866"/>
        <w:gridCol w:w="866"/>
        <w:gridCol w:w="867"/>
        <w:gridCol w:w="866"/>
        <w:gridCol w:w="866"/>
        <w:gridCol w:w="866"/>
        <w:gridCol w:w="867"/>
      </w:tblGrid>
      <w:tr>
        <w:tblPrEx>
          <w:tblCellMar>
            <w:top w:w="0" w:type="dxa"/>
            <w:left w:w="108" w:type="dxa"/>
            <w:bottom w:w="0" w:type="dxa"/>
            <w:right w:w="108" w:type="dxa"/>
          </w:tblCellMar>
        </w:tblPrEx>
        <w:trPr>
          <w:trHeight w:val="959" w:hRule="atLeast"/>
        </w:trPr>
        <w:tc>
          <w:tcPr>
            <w:tcW w:w="9498" w:type="dxa"/>
            <w:gridSpan w:val="11"/>
            <w:tcBorders>
              <w:top w:val="nil"/>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sz w:val="28"/>
                <w:szCs w:val="28"/>
              </w:rPr>
              <w:t>未来收入的预测</w:t>
            </w:r>
          </w:p>
          <w:p>
            <w:pPr>
              <w:keepNext w:val="0"/>
              <w:keepLines w:val="0"/>
              <w:pageBreakBefore w:val="0"/>
              <w:kinsoku/>
              <w:wordWrap/>
              <w:overflowPunct/>
              <w:topLinePunct w:val="0"/>
              <w:autoSpaceDE/>
              <w:autoSpaceDN/>
              <w:bidi w:val="0"/>
              <w:adjustRightInd/>
              <w:snapToGrid/>
              <w:spacing w:line="400" w:lineRule="exact"/>
              <w:ind w:left="420"/>
              <w:jc w:val="right"/>
              <w:textAlignment w:val="auto"/>
              <w:rPr>
                <w:rFonts w:ascii="仿宋" w:hAnsi="仿宋" w:eastAsia="仿宋" w:cs="仿宋"/>
                <w:sz w:val="28"/>
              </w:rPr>
            </w:pPr>
            <w:r>
              <w:rPr>
                <w:rFonts w:hint="eastAsia" w:ascii="仿宋" w:hAnsi="仿宋" w:eastAsia="仿宋" w:cs="仿宋"/>
                <w:sz w:val="21"/>
                <w:szCs w:val="21"/>
              </w:rPr>
              <w:t>金额单位：万元</w:t>
            </w:r>
          </w:p>
        </w:tc>
      </w:tr>
      <w:tr>
        <w:tblPrEx>
          <w:tblCellMar>
            <w:top w:w="0" w:type="dxa"/>
            <w:left w:w="108" w:type="dxa"/>
            <w:bottom w:w="0" w:type="dxa"/>
            <w:right w:w="108" w:type="dxa"/>
          </w:tblCellMar>
        </w:tblPrEx>
        <w:trPr>
          <w:trHeight w:val="285" w:hRule="atLeast"/>
        </w:trPr>
        <w:tc>
          <w:tcPr>
            <w:tcW w:w="170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项目</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2020年</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2021年</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2022年</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2023年</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2024年</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2025年</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2026年</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2027年</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2028-</w:t>
            </w:r>
          </w:p>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2068</w:t>
            </w:r>
          </w:p>
        </w:tc>
      </w:tr>
      <w:tr>
        <w:tblPrEx>
          <w:tblCellMar>
            <w:top w:w="0" w:type="dxa"/>
            <w:left w:w="108" w:type="dxa"/>
            <w:bottom w:w="0" w:type="dxa"/>
            <w:right w:w="108" w:type="dxa"/>
          </w:tblCellMar>
        </w:tblPrEx>
        <w:trPr>
          <w:trHeight w:val="285" w:hRule="atLeast"/>
        </w:trPr>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仓储</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最大容量</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出租率</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单位租金</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营业收入</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112.5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400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450</w:t>
            </w:r>
          </w:p>
        </w:tc>
      </w:tr>
      <w:tr>
        <w:tblPrEx>
          <w:tblCellMar>
            <w:top w:w="0" w:type="dxa"/>
            <w:left w:w="108" w:type="dxa"/>
            <w:bottom w:w="0" w:type="dxa"/>
            <w:right w:w="108" w:type="dxa"/>
          </w:tblCellMar>
        </w:tblPrEx>
        <w:trPr>
          <w:trHeight w:val="285" w:hRule="atLeast"/>
        </w:trPr>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烘干线</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能力</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利用率</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85%</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单位价格</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营业收入</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1182.6</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1281.15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1379.7</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1478.25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1576.8</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1675.35</w:t>
            </w:r>
          </w:p>
        </w:tc>
      </w:tr>
      <w:tr>
        <w:tblPrEx>
          <w:tblCellMar>
            <w:top w:w="0" w:type="dxa"/>
            <w:left w:w="108" w:type="dxa"/>
            <w:bottom w:w="0" w:type="dxa"/>
            <w:right w:w="108" w:type="dxa"/>
          </w:tblCellMar>
        </w:tblPrEx>
        <w:trPr>
          <w:trHeight w:val="285" w:hRule="atLeast"/>
        </w:trPr>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粮食转换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最大容量</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出租率</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单位价格</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营业收入</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56.25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52.5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225</w:t>
            </w:r>
          </w:p>
        </w:tc>
      </w:tr>
      <w:tr>
        <w:tblPrEx>
          <w:tblCellMar>
            <w:top w:w="0" w:type="dxa"/>
            <w:left w:w="108" w:type="dxa"/>
            <w:bottom w:w="0" w:type="dxa"/>
            <w:right w:w="108" w:type="dxa"/>
          </w:tblCellMar>
        </w:tblPrEx>
        <w:trPr>
          <w:trHeight w:val="570" w:hRule="atLeast"/>
        </w:trPr>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营业收入合计</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1287.6</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1449.9</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1559.7</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1880.75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2176.8</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2350.35</w:t>
            </w:r>
          </w:p>
        </w:tc>
      </w:tr>
    </w:tbl>
    <w:p>
      <w:pPr>
        <w:pStyle w:val="306"/>
        <w:numPr>
          <w:ilvl w:val="0"/>
          <w:numId w:val="12"/>
        </w:numPr>
        <w:spacing w:line="480" w:lineRule="exact"/>
        <w:ind w:firstLineChars="0"/>
        <w:rPr>
          <w:rFonts w:ascii="仿宋" w:hAnsi="仿宋" w:eastAsia="仿宋" w:cs="仿宋"/>
          <w:sz w:val="28"/>
          <w:szCs w:val="28"/>
        </w:rPr>
      </w:pPr>
      <w:r>
        <w:rPr>
          <w:rFonts w:hint="eastAsia" w:ascii="仿宋" w:hAnsi="仿宋" w:eastAsia="仿宋" w:cs="仿宋"/>
          <w:sz w:val="28"/>
          <w:szCs w:val="28"/>
        </w:rPr>
        <w:t>主营业务成本预测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本次评估是以</w:t>
      </w:r>
      <w:bookmarkStart w:id="144" w:name="_Hlk46070882"/>
      <w:r>
        <w:rPr>
          <w:rFonts w:hint="eastAsia" w:ascii="仿宋" w:hAnsi="仿宋" w:eastAsia="仿宋" w:cs="仿宋"/>
          <w:sz w:val="28"/>
          <w:szCs w:val="28"/>
        </w:rPr>
        <w:t>被评估企业</w:t>
      </w:r>
      <w:bookmarkEnd w:id="144"/>
      <w:r>
        <w:rPr>
          <w:rFonts w:hint="eastAsia" w:ascii="仿宋" w:hAnsi="仿宋" w:eastAsia="仿宋" w:cs="仿宋"/>
          <w:sz w:val="28"/>
          <w:szCs w:val="28"/>
        </w:rPr>
        <w:t>的正常经营管理为基础，不考虑非正常因素对其成本产生的影响。</w:t>
      </w:r>
    </w:p>
    <w:tbl>
      <w:tblPr>
        <w:tblStyle w:val="54"/>
        <w:tblW w:w="9499" w:type="dxa"/>
        <w:tblInd w:w="-34" w:type="dxa"/>
        <w:tblLayout w:type="fixed"/>
        <w:tblCellMar>
          <w:top w:w="0" w:type="dxa"/>
          <w:left w:w="108" w:type="dxa"/>
          <w:bottom w:w="0" w:type="dxa"/>
          <w:right w:w="108" w:type="dxa"/>
        </w:tblCellMar>
      </w:tblPr>
      <w:tblGrid>
        <w:gridCol w:w="568"/>
        <w:gridCol w:w="1078"/>
        <w:gridCol w:w="872"/>
        <w:gridCol w:w="873"/>
        <w:gridCol w:w="872"/>
        <w:gridCol w:w="873"/>
        <w:gridCol w:w="872"/>
        <w:gridCol w:w="873"/>
        <w:gridCol w:w="872"/>
        <w:gridCol w:w="873"/>
        <w:gridCol w:w="873"/>
      </w:tblGrid>
      <w:tr>
        <w:tblPrEx>
          <w:tblCellMar>
            <w:top w:w="0" w:type="dxa"/>
            <w:left w:w="108" w:type="dxa"/>
            <w:bottom w:w="0" w:type="dxa"/>
            <w:right w:w="108" w:type="dxa"/>
          </w:tblCellMar>
        </w:tblPrEx>
        <w:trPr>
          <w:trHeight w:val="285" w:hRule="atLeast"/>
        </w:trPr>
        <w:tc>
          <w:tcPr>
            <w:tcW w:w="9499" w:type="dxa"/>
            <w:gridSpan w:val="11"/>
            <w:tcBorders>
              <w:top w:val="nil"/>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sz w:val="28"/>
                <w:szCs w:val="28"/>
              </w:rPr>
              <w:t>未来主营成本的预测</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仿宋" w:hAnsi="仿宋" w:eastAsia="仿宋" w:cs="宋体"/>
                <w:color w:val="000000"/>
                <w:kern w:val="0"/>
                <w:sz w:val="16"/>
                <w:szCs w:val="16"/>
              </w:rPr>
            </w:pPr>
            <w:r>
              <w:rPr>
                <w:rFonts w:hint="eastAsia" w:ascii="仿宋" w:hAnsi="仿宋" w:eastAsia="仿宋" w:cs="仿宋"/>
                <w:sz w:val="21"/>
                <w:szCs w:val="21"/>
              </w:rPr>
              <w:t>金额单位：万元</w:t>
            </w:r>
          </w:p>
        </w:tc>
      </w:tr>
      <w:tr>
        <w:tblPrEx>
          <w:tblCellMar>
            <w:top w:w="0" w:type="dxa"/>
            <w:left w:w="108" w:type="dxa"/>
            <w:bottom w:w="0" w:type="dxa"/>
            <w:right w:w="108" w:type="dxa"/>
          </w:tblCellMar>
        </w:tblPrEx>
        <w:trPr>
          <w:trHeight w:val="285" w:hRule="atLeast"/>
        </w:trPr>
        <w:tc>
          <w:tcPr>
            <w:tcW w:w="164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项目</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2020年</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2021年</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2022年</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2023年</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2024年</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2025年</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2026年</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2027年</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2028-2068</w:t>
            </w:r>
          </w:p>
        </w:tc>
      </w:tr>
      <w:tr>
        <w:tblPrEx>
          <w:tblCellMar>
            <w:top w:w="0" w:type="dxa"/>
            <w:left w:w="108" w:type="dxa"/>
            <w:bottom w:w="0" w:type="dxa"/>
            <w:right w:w="108" w:type="dxa"/>
          </w:tblCellMar>
        </w:tblPrEx>
        <w:trPr>
          <w:trHeight w:val="285" w:hRule="atLeast"/>
        </w:trPr>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仓储</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最大容量</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出租率</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单位租金</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营业成本</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42</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48</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160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180</w:t>
            </w:r>
          </w:p>
        </w:tc>
      </w:tr>
      <w:tr>
        <w:tblPrEx>
          <w:tblCellMar>
            <w:top w:w="0" w:type="dxa"/>
            <w:left w:w="108" w:type="dxa"/>
            <w:bottom w:w="0" w:type="dxa"/>
            <w:right w:w="108" w:type="dxa"/>
          </w:tblCellMar>
        </w:tblPrEx>
        <w:trPr>
          <w:trHeight w:val="285" w:hRule="atLeast"/>
        </w:trPr>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烘干线</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能力</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利用率</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85%</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单位价格</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营业成本</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788.4</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854.1</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919.8</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985.5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1051.2</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1116.9</w:t>
            </w:r>
          </w:p>
        </w:tc>
      </w:tr>
      <w:tr>
        <w:tblPrEx>
          <w:tblCellMar>
            <w:top w:w="0" w:type="dxa"/>
            <w:left w:w="108" w:type="dxa"/>
            <w:bottom w:w="0" w:type="dxa"/>
            <w:right w:w="108" w:type="dxa"/>
          </w:tblCellMar>
        </w:tblPrEx>
        <w:trPr>
          <w:trHeight w:val="285" w:hRule="atLeast"/>
        </w:trPr>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粮食转换</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最大容量</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出租率</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单位价格</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r>
      <w:tr>
        <w:tblPrEx>
          <w:tblCellMar>
            <w:top w:w="0" w:type="dxa"/>
            <w:left w:w="108" w:type="dxa"/>
            <w:bottom w:w="0" w:type="dxa"/>
            <w:right w:w="108" w:type="dxa"/>
          </w:tblCellMar>
        </w:tblPrEx>
        <w:trPr>
          <w:trHeight w:val="285"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营业成本</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16.88</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18</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15.75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67.5</w:t>
            </w:r>
          </w:p>
        </w:tc>
      </w:tr>
      <w:tr>
        <w:tblPrEx>
          <w:tblCellMar>
            <w:top w:w="0" w:type="dxa"/>
            <w:left w:w="108" w:type="dxa"/>
            <w:bottom w:w="0" w:type="dxa"/>
            <w:right w:w="108" w:type="dxa"/>
          </w:tblCellMar>
        </w:tblPrEx>
        <w:trPr>
          <w:trHeight w:val="285" w:hRule="atLeast"/>
        </w:trPr>
        <w:tc>
          <w:tcPr>
            <w:tcW w:w="1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营业成本合计</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830.4</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915.98</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985.8</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1141.25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1271.2</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1364.4</w:t>
            </w:r>
          </w:p>
        </w:tc>
      </w:tr>
      <w:tr>
        <w:tblPrEx>
          <w:tblCellMar>
            <w:top w:w="0" w:type="dxa"/>
            <w:left w:w="108" w:type="dxa"/>
            <w:bottom w:w="0" w:type="dxa"/>
            <w:right w:w="108" w:type="dxa"/>
          </w:tblCellMar>
        </w:tblPrEx>
        <w:trPr>
          <w:trHeight w:val="285" w:hRule="atLeast"/>
        </w:trPr>
        <w:tc>
          <w:tcPr>
            <w:tcW w:w="1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毛利润</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457.2</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533.92</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573.9</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739.5</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905.6</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985.95</w:t>
            </w:r>
          </w:p>
        </w:tc>
      </w:tr>
      <w:tr>
        <w:tblPrEx>
          <w:tblCellMar>
            <w:top w:w="0" w:type="dxa"/>
            <w:left w:w="108" w:type="dxa"/>
            <w:bottom w:w="0" w:type="dxa"/>
            <w:right w:w="108" w:type="dxa"/>
          </w:tblCellMar>
        </w:tblPrEx>
        <w:trPr>
          <w:trHeight w:val="285" w:hRule="atLeast"/>
        </w:trPr>
        <w:tc>
          <w:tcPr>
            <w:tcW w:w="1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毛利润率（%）</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35.51%</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36.82%</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36.80%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39.32%</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41.60%</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41.95%</w:t>
            </w:r>
          </w:p>
        </w:tc>
      </w:tr>
    </w:tbl>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bookmarkStart w:id="145" w:name="_Hlk46070918"/>
      <w:r>
        <w:rPr>
          <w:rFonts w:hint="eastAsia" w:ascii="仿宋" w:hAnsi="仿宋" w:eastAsia="仿宋" w:cs="仿宋"/>
          <w:sz w:val="28"/>
          <w:szCs w:val="28"/>
        </w:rPr>
        <w:t>增值税及附加</w:t>
      </w:r>
      <w:bookmarkEnd w:id="145"/>
      <w:r>
        <w:rPr>
          <w:rFonts w:hint="eastAsia" w:ascii="仿宋" w:hAnsi="仿宋" w:eastAsia="仿宋" w:cs="仿宋"/>
          <w:sz w:val="28"/>
          <w:szCs w:val="28"/>
        </w:rPr>
        <w:t>的预测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被评估企业的增值税及附加包括企业应缴纳</w:t>
      </w:r>
      <w:bookmarkStart w:id="146" w:name="_Hlk46071013"/>
      <w:r>
        <w:rPr>
          <w:rFonts w:hint="eastAsia" w:ascii="仿宋" w:hAnsi="仿宋" w:eastAsia="仿宋" w:cs="仿宋"/>
          <w:sz w:val="28"/>
          <w:szCs w:val="28"/>
        </w:rPr>
        <w:t>城市维护建设税、教育附加、地方教育费附加</w:t>
      </w:r>
      <w:bookmarkEnd w:id="146"/>
      <w:r>
        <w:rPr>
          <w:rFonts w:hint="eastAsia" w:ascii="仿宋" w:hAnsi="仿宋" w:eastAsia="仿宋" w:cs="仿宋"/>
          <w:sz w:val="28"/>
          <w:szCs w:val="28"/>
        </w:rPr>
        <w:t>。城市维护建设税、教育附加、地方教育费附加分别按增值税应纳流转税额的</w:t>
      </w:r>
      <w:r>
        <w:rPr>
          <w:rFonts w:ascii="仿宋" w:hAnsi="仿宋" w:eastAsia="仿宋" w:cs="仿宋"/>
          <w:sz w:val="28"/>
          <w:szCs w:val="28"/>
        </w:rPr>
        <w:t>1</w:t>
      </w:r>
      <w:r>
        <w:rPr>
          <w:rFonts w:hint="eastAsia" w:ascii="仿宋" w:hAnsi="仿宋" w:eastAsia="仿宋" w:cs="仿宋"/>
          <w:sz w:val="28"/>
          <w:szCs w:val="28"/>
        </w:rPr>
        <w:t>%、3%和2%缴纳。</w:t>
      </w:r>
    </w:p>
    <w:tbl>
      <w:tblPr>
        <w:tblStyle w:val="54"/>
        <w:tblW w:w="9356" w:type="dxa"/>
        <w:tblInd w:w="108" w:type="dxa"/>
        <w:tblLayout w:type="fixed"/>
        <w:tblCellMar>
          <w:top w:w="0" w:type="dxa"/>
          <w:left w:w="108" w:type="dxa"/>
          <w:bottom w:w="0" w:type="dxa"/>
          <w:right w:w="108" w:type="dxa"/>
        </w:tblCellMar>
      </w:tblPr>
      <w:tblGrid>
        <w:gridCol w:w="1701"/>
        <w:gridCol w:w="850"/>
        <w:gridCol w:w="851"/>
        <w:gridCol w:w="850"/>
        <w:gridCol w:w="851"/>
        <w:gridCol w:w="850"/>
        <w:gridCol w:w="851"/>
        <w:gridCol w:w="850"/>
        <w:gridCol w:w="851"/>
        <w:gridCol w:w="851"/>
      </w:tblGrid>
      <w:tr>
        <w:tblPrEx>
          <w:tblCellMar>
            <w:top w:w="0" w:type="dxa"/>
            <w:left w:w="108" w:type="dxa"/>
            <w:bottom w:w="0" w:type="dxa"/>
            <w:right w:w="108" w:type="dxa"/>
          </w:tblCellMar>
        </w:tblPrEx>
        <w:trPr>
          <w:trHeight w:val="285" w:hRule="atLeast"/>
        </w:trPr>
        <w:tc>
          <w:tcPr>
            <w:tcW w:w="9356" w:type="dxa"/>
            <w:gridSpan w:val="10"/>
            <w:tcBorders>
              <w:top w:val="nil"/>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sz w:val="28"/>
                <w:szCs w:val="28"/>
              </w:rPr>
              <w:t>增值税及附加的预测</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仿宋" w:hAnsi="仿宋" w:eastAsia="仿宋" w:cs="宋体"/>
                <w:color w:val="000000"/>
                <w:kern w:val="0"/>
                <w:sz w:val="16"/>
                <w:szCs w:val="16"/>
              </w:rPr>
            </w:pPr>
            <w:bookmarkStart w:id="147" w:name="_Hlk46071947"/>
            <w:r>
              <w:rPr>
                <w:rFonts w:hint="eastAsia" w:ascii="仿宋" w:hAnsi="仿宋" w:eastAsia="仿宋" w:cs="仿宋"/>
                <w:sz w:val="21"/>
                <w:szCs w:val="21"/>
              </w:rPr>
              <w:t>金额单位：万元</w:t>
            </w:r>
            <w:bookmarkEnd w:id="147"/>
          </w:p>
        </w:tc>
      </w:tr>
      <w:tr>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项目</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2020年</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2021年</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2022年</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2023年</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2024年</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2025年</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2026年</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2027年</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2028-2068</w:t>
            </w:r>
          </w:p>
        </w:tc>
      </w:tr>
      <w:tr>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应交增值税</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141.64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159.49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171.57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206.88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239.45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258.54 </w:t>
            </w:r>
          </w:p>
        </w:tc>
      </w:tr>
      <w:tr>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城市维护建设税</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1.42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1.59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1.72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2.07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2.39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2.59 </w:t>
            </w:r>
          </w:p>
        </w:tc>
      </w:tr>
      <w:tr>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教育费附加</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4.25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4.78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5.15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6.21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7.18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7.76 </w:t>
            </w:r>
          </w:p>
        </w:tc>
      </w:tr>
      <w:tr>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地方教育费附加</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2.83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3.19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3.43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4.14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4.79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5.17 </w:t>
            </w:r>
          </w:p>
        </w:tc>
      </w:tr>
      <w:tr>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增值税及附加合计</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150.13</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169.06</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181.86</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219.3</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253.81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274.05</w:t>
            </w:r>
          </w:p>
        </w:tc>
      </w:tr>
    </w:tbl>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4、营业费用、管理费用的预测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营业费用主要包括办公费、工资及社保福利费、差旅费、业务招待费、交通费、运杂费、市场推广费、宣传广告费等。管理费用主要包括办公费、工资及社保福利费、折旧费、印花税、无形资产摊销、土地使用税、研发研发费用等。</w:t>
      </w:r>
    </w:p>
    <w:p>
      <w:pPr>
        <w:spacing w:line="480" w:lineRule="exact"/>
        <w:ind w:firstLine="570"/>
        <w:rPr>
          <w:rFonts w:hint="eastAsia" w:ascii="仿宋" w:hAnsi="仿宋" w:eastAsia="仿宋" w:cs="仿宋"/>
          <w:sz w:val="28"/>
          <w:szCs w:val="28"/>
        </w:rPr>
      </w:pPr>
      <w:r>
        <w:rPr>
          <w:rFonts w:hint="eastAsia" w:ascii="仿宋" w:hAnsi="仿宋" w:eastAsia="仿宋" w:cs="仿宋"/>
          <w:sz w:val="28"/>
          <w:szCs w:val="28"/>
        </w:rPr>
        <w:t>营业费用是根据行业中平均比例，结合公司的情况，本次评估按1</w:t>
      </w:r>
      <w:r>
        <w:rPr>
          <w:rFonts w:ascii="仿宋" w:hAnsi="仿宋" w:eastAsia="仿宋" w:cs="仿宋"/>
          <w:sz w:val="28"/>
          <w:szCs w:val="28"/>
        </w:rPr>
        <w:t>0</w:t>
      </w:r>
      <w:r>
        <w:rPr>
          <w:rFonts w:hint="eastAsia" w:ascii="仿宋" w:hAnsi="仿宋" w:eastAsia="仿宋" w:cs="仿宋"/>
          <w:sz w:val="28"/>
          <w:szCs w:val="28"/>
        </w:rPr>
        <w:t>%进行预测；管理费用按1.</w:t>
      </w:r>
      <w:r>
        <w:rPr>
          <w:rFonts w:ascii="仿宋" w:hAnsi="仿宋" w:eastAsia="仿宋" w:cs="仿宋"/>
          <w:sz w:val="28"/>
          <w:szCs w:val="28"/>
        </w:rPr>
        <w:t>5</w:t>
      </w:r>
      <w:r>
        <w:rPr>
          <w:rFonts w:hint="eastAsia" w:ascii="仿宋" w:hAnsi="仿宋" w:eastAsia="仿宋" w:cs="仿宋"/>
          <w:sz w:val="28"/>
          <w:szCs w:val="28"/>
        </w:rPr>
        <w:t>%进行预测。</w:t>
      </w:r>
    </w:p>
    <w:p>
      <w:pPr>
        <w:spacing w:line="480" w:lineRule="exact"/>
        <w:ind w:firstLine="570"/>
        <w:rPr>
          <w:rFonts w:hint="eastAsia" w:ascii="仿宋" w:hAnsi="仿宋" w:eastAsia="仿宋" w:cs="仿宋"/>
          <w:sz w:val="28"/>
          <w:szCs w:val="28"/>
        </w:rPr>
      </w:pPr>
    </w:p>
    <w:p>
      <w:pPr>
        <w:spacing w:line="480" w:lineRule="exact"/>
        <w:ind w:firstLine="570"/>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00" w:lineRule="exact"/>
        <w:ind w:firstLine="570"/>
        <w:jc w:val="center"/>
        <w:textAlignment w:val="auto"/>
        <w:rPr>
          <w:rFonts w:ascii="仿宋" w:hAnsi="仿宋" w:eastAsia="仿宋" w:cs="仿宋"/>
          <w:sz w:val="28"/>
          <w:szCs w:val="28"/>
        </w:rPr>
      </w:pPr>
      <w:r>
        <w:rPr>
          <w:rFonts w:hint="eastAsia" w:ascii="仿宋" w:hAnsi="仿宋" w:eastAsia="仿宋" w:cs="仿宋"/>
          <w:sz w:val="28"/>
          <w:szCs w:val="28"/>
        </w:rPr>
        <w:t>营业费用、管理费用的预测</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仿宋" w:hAnsi="仿宋" w:eastAsia="仿宋" w:cs="仿宋"/>
          <w:sz w:val="28"/>
          <w:szCs w:val="28"/>
        </w:rPr>
      </w:pPr>
      <w:r>
        <w:rPr>
          <w:rFonts w:hint="eastAsia" w:ascii="仿宋" w:hAnsi="仿宋" w:eastAsia="仿宋" w:cs="仿宋"/>
          <w:sz w:val="21"/>
          <w:szCs w:val="21"/>
        </w:rPr>
        <w:t>金额单位：万元</w:t>
      </w:r>
    </w:p>
    <w:tbl>
      <w:tblPr>
        <w:tblStyle w:val="54"/>
        <w:tblW w:w="9356" w:type="dxa"/>
        <w:tblInd w:w="108" w:type="dxa"/>
        <w:tblLayout w:type="fixed"/>
        <w:tblCellMar>
          <w:top w:w="0" w:type="dxa"/>
          <w:left w:w="108" w:type="dxa"/>
          <w:bottom w:w="0" w:type="dxa"/>
          <w:right w:w="108" w:type="dxa"/>
        </w:tblCellMar>
      </w:tblPr>
      <w:tblGrid>
        <w:gridCol w:w="1134"/>
        <w:gridCol w:w="882"/>
        <w:gridCol w:w="882"/>
        <w:gridCol w:w="882"/>
        <w:gridCol w:w="882"/>
        <w:gridCol w:w="882"/>
        <w:gridCol w:w="882"/>
        <w:gridCol w:w="882"/>
        <w:gridCol w:w="882"/>
        <w:gridCol w:w="1166"/>
      </w:tblGrid>
      <w:tr>
        <w:tblPrEx>
          <w:tblCellMar>
            <w:top w:w="0" w:type="dxa"/>
            <w:left w:w="108" w:type="dxa"/>
            <w:bottom w:w="0" w:type="dxa"/>
            <w:right w:w="108" w:type="dxa"/>
          </w:tblCellMar>
        </w:tblPrEx>
        <w:trPr>
          <w:trHeight w:val="655"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项目　</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2020年</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2021年</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2022年</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2023年</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2024年</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2025年</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2026年</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2027年</w:t>
            </w:r>
          </w:p>
        </w:tc>
        <w:tc>
          <w:tcPr>
            <w:tcW w:w="11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2028-2068</w:t>
            </w:r>
          </w:p>
        </w:tc>
      </w:tr>
      <w:tr>
        <w:tblPrEx>
          <w:tblCellMar>
            <w:top w:w="0" w:type="dxa"/>
            <w:left w:w="108" w:type="dxa"/>
            <w:bottom w:w="0" w:type="dxa"/>
            <w:right w:w="108" w:type="dxa"/>
          </w:tblCellMar>
        </w:tblPrEx>
        <w:trPr>
          <w:trHeight w:val="655"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营业费用</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128.76</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144.99</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155.97</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188.08</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217.68</w:t>
            </w:r>
          </w:p>
        </w:tc>
        <w:tc>
          <w:tcPr>
            <w:tcW w:w="11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235.04</w:t>
            </w:r>
          </w:p>
        </w:tc>
      </w:tr>
      <w:tr>
        <w:tblPrEx>
          <w:tblCellMar>
            <w:top w:w="0" w:type="dxa"/>
            <w:left w:w="108" w:type="dxa"/>
            <w:bottom w:w="0" w:type="dxa"/>
            <w:right w:w="108" w:type="dxa"/>
          </w:tblCellMar>
        </w:tblPrEx>
        <w:trPr>
          <w:trHeight w:val="655"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管理费用</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19.31</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21.75</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23.4</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28.21</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32.65</w:t>
            </w:r>
          </w:p>
        </w:tc>
        <w:tc>
          <w:tcPr>
            <w:tcW w:w="11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35.26</w:t>
            </w:r>
          </w:p>
        </w:tc>
      </w:tr>
    </w:tbl>
    <w:p>
      <w:pPr>
        <w:spacing w:line="48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w:t>
      </w:r>
      <w:bookmarkStart w:id="148" w:name="_Hlk46072050"/>
      <w:r>
        <w:rPr>
          <w:rFonts w:hint="eastAsia" w:ascii="仿宋" w:hAnsi="仿宋" w:eastAsia="仿宋" w:cs="仿宋"/>
          <w:sz w:val="28"/>
          <w:szCs w:val="28"/>
        </w:rPr>
        <w:t>资产减值损失的预测</w:t>
      </w:r>
      <w:bookmarkEnd w:id="148"/>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资产减值损失的预测是根据会计准则对应收款项产生坏账损失的预测，本次评估按照销售收入的5%进行预测。</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、财务费用的预测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由于公司目前处于前期阶段，对资金的来源未定，本次评估不予预测。</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、营业外收入、营业外支出的预测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营业外收支属企业偶发性的收入和支出，本次评估不予预测。</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8</w:t>
      </w:r>
      <w:r>
        <w:rPr>
          <w:rFonts w:hint="eastAsia" w:ascii="仿宋" w:hAnsi="仿宋" w:eastAsia="仿宋" w:cs="仿宋"/>
          <w:sz w:val="28"/>
          <w:szCs w:val="28"/>
        </w:rPr>
        <w:t>、所得税的预测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根据相关规定被评估企业为一般纳税人，所得税按2</w:t>
      </w:r>
      <w:r>
        <w:rPr>
          <w:rFonts w:ascii="仿宋" w:hAnsi="仿宋" w:eastAsia="仿宋" w:cs="仿宋"/>
          <w:sz w:val="28"/>
          <w:szCs w:val="28"/>
        </w:rPr>
        <w:t>5</w:t>
      </w:r>
      <w:r>
        <w:rPr>
          <w:rFonts w:hint="eastAsia" w:ascii="仿宋" w:hAnsi="仿宋" w:eastAsia="仿宋" w:cs="仿宋"/>
          <w:sz w:val="28"/>
          <w:szCs w:val="28"/>
        </w:rPr>
        <w:t>%进行测算。</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9</w:t>
      </w:r>
      <w:r>
        <w:rPr>
          <w:rFonts w:hint="eastAsia" w:ascii="仿宋" w:hAnsi="仿宋" w:eastAsia="仿宋" w:cs="仿宋"/>
          <w:sz w:val="28"/>
          <w:szCs w:val="28"/>
        </w:rPr>
        <w:t>、折旧及摊销的预测</w:t>
      </w:r>
    </w:p>
    <w:p>
      <w:pPr>
        <w:spacing w:line="480" w:lineRule="exact"/>
        <w:ind w:firstLine="570"/>
        <w:rPr>
          <w:rFonts w:ascii="仿宋" w:hAnsi="仿宋" w:eastAsia="仿宋" w:cs="仿宋"/>
          <w:sz w:val="28"/>
          <w:szCs w:val="28"/>
        </w:rPr>
      </w:pPr>
      <w:r>
        <w:rPr>
          <w:rFonts w:hint="eastAsia" w:ascii="仿宋" w:hAnsi="仿宋" w:eastAsia="仿宋" w:cs="仿宋"/>
          <w:sz w:val="28"/>
          <w:szCs w:val="28"/>
        </w:rPr>
        <w:t>本次评估是对企业投入的固定资产进行了摊销测算。</w:t>
      </w:r>
    </w:p>
    <w:tbl>
      <w:tblPr>
        <w:tblStyle w:val="54"/>
        <w:tblW w:w="9214" w:type="dxa"/>
        <w:tblInd w:w="108" w:type="dxa"/>
        <w:tblLayout w:type="fixed"/>
        <w:tblCellMar>
          <w:top w:w="0" w:type="dxa"/>
          <w:left w:w="108" w:type="dxa"/>
          <w:bottom w:w="0" w:type="dxa"/>
          <w:right w:w="108" w:type="dxa"/>
        </w:tblCellMar>
      </w:tblPr>
      <w:tblGrid>
        <w:gridCol w:w="1261"/>
        <w:gridCol w:w="852"/>
        <w:gridCol w:w="853"/>
        <w:gridCol w:w="853"/>
        <w:gridCol w:w="852"/>
        <w:gridCol w:w="853"/>
        <w:gridCol w:w="853"/>
        <w:gridCol w:w="853"/>
        <w:gridCol w:w="974"/>
        <w:gridCol w:w="18"/>
        <w:gridCol w:w="850"/>
        <w:gridCol w:w="142"/>
      </w:tblGrid>
      <w:tr>
        <w:tblPrEx>
          <w:tblCellMar>
            <w:top w:w="0" w:type="dxa"/>
            <w:left w:w="108" w:type="dxa"/>
            <w:bottom w:w="0" w:type="dxa"/>
            <w:right w:w="108" w:type="dxa"/>
          </w:tblCellMar>
        </w:tblPrEx>
        <w:trPr>
          <w:gridAfter w:val="1"/>
          <w:wAfter w:w="142" w:type="dxa"/>
          <w:trHeight w:val="285" w:hRule="atLeast"/>
        </w:trPr>
        <w:tc>
          <w:tcPr>
            <w:tcW w:w="9072" w:type="dxa"/>
            <w:gridSpan w:val="11"/>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sz w:val="28"/>
                <w:szCs w:val="28"/>
              </w:rPr>
              <w:t>折旧及摊销的预测</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仿宋" w:hAnsi="仿宋" w:eastAsia="仿宋" w:cs="仿宋"/>
                <w:sz w:val="28"/>
                <w:szCs w:val="28"/>
              </w:rPr>
            </w:pPr>
            <w:r>
              <w:rPr>
                <w:rFonts w:hint="eastAsia" w:ascii="仿宋" w:hAnsi="仿宋" w:eastAsia="仿宋" w:cs="仿宋"/>
                <w:sz w:val="21"/>
                <w:szCs w:val="21"/>
              </w:rPr>
              <w:t>金额单位：万元</w:t>
            </w:r>
          </w:p>
        </w:tc>
      </w:tr>
      <w:tr>
        <w:tblPrEx>
          <w:tblCellMar>
            <w:top w:w="0" w:type="dxa"/>
            <w:left w:w="108" w:type="dxa"/>
            <w:bottom w:w="0" w:type="dxa"/>
            <w:right w:w="108" w:type="dxa"/>
          </w:tblCellMar>
        </w:tblPrEx>
        <w:trPr>
          <w:trHeight w:val="285" w:hRule="atLeast"/>
        </w:trPr>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项目</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2020年</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2021年</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2022年</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2023年</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2024年</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2025年</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2026年</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2027年</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2028-2068</w:t>
            </w:r>
          </w:p>
        </w:tc>
      </w:tr>
      <w:tr>
        <w:tblPrEx>
          <w:tblCellMar>
            <w:top w:w="0" w:type="dxa"/>
            <w:left w:w="108" w:type="dxa"/>
            <w:bottom w:w="0" w:type="dxa"/>
            <w:right w:w="108" w:type="dxa"/>
          </w:tblCellMar>
        </w:tblPrEx>
        <w:trPr>
          <w:trHeight w:val="480" w:hRule="atLeast"/>
        </w:trPr>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折旧及摊销</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210</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210</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210</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279</w:t>
            </w:r>
          </w:p>
        </w:tc>
        <w:tc>
          <w:tcPr>
            <w:tcW w:w="9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279</w:t>
            </w:r>
          </w:p>
        </w:tc>
        <w:tc>
          <w:tcPr>
            <w:tcW w:w="10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279</w:t>
            </w:r>
          </w:p>
        </w:tc>
      </w:tr>
    </w:tbl>
    <w:p>
      <w:pPr>
        <w:spacing w:line="480" w:lineRule="exact"/>
        <w:ind w:firstLine="560" w:firstLineChars="200"/>
        <w:rPr>
          <w:rFonts w:ascii="仿宋" w:hAnsi="仿宋" w:eastAsia="仿宋" w:cs="仿宋"/>
          <w:sz w:val="28"/>
          <w:szCs w:val="28"/>
        </w:rPr>
      </w:pPr>
      <w:r>
        <w:rPr>
          <w:rFonts w:ascii="仿宋" w:hAnsi="仿宋" w:eastAsia="仿宋" w:cs="仿宋"/>
          <w:sz w:val="28"/>
          <w:szCs w:val="28"/>
        </w:rPr>
        <w:t>10</w:t>
      </w:r>
      <w:r>
        <w:rPr>
          <w:rFonts w:hint="eastAsia" w:ascii="仿宋" w:hAnsi="仿宋" w:eastAsia="仿宋" w:cs="仿宋"/>
          <w:sz w:val="28"/>
          <w:szCs w:val="28"/>
        </w:rPr>
        <w:t>、</w:t>
      </w:r>
      <w:bookmarkStart w:id="149" w:name="_Hlk46072589"/>
      <w:r>
        <w:rPr>
          <w:rFonts w:hint="eastAsia" w:ascii="仿宋" w:hAnsi="仿宋" w:eastAsia="仿宋" w:cs="仿宋"/>
          <w:sz w:val="28"/>
          <w:szCs w:val="28"/>
        </w:rPr>
        <w:t>资本性支出</w:t>
      </w:r>
      <w:bookmarkEnd w:id="149"/>
      <w:r>
        <w:rPr>
          <w:rFonts w:hint="eastAsia" w:ascii="仿宋" w:hAnsi="仿宋" w:eastAsia="仿宋" w:cs="仿宋"/>
          <w:sz w:val="28"/>
          <w:szCs w:val="28"/>
        </w:rPr>
        <w:t>的预测</w:t>
      </w:r>
    </w:p>
    <w:p>
      <w:pPr>
        <w:spacing w:line="480" w:lineRule="exact"/>
        <w:ind w:firstLine="560" w:firstLineChars="200"/>
        <w:rPr>
          <w:rFonts w:ascii="仿宋" w:hAnsi="仿宋" w:eastAsia="仿宋" w:cs="仿宋"/>
          <w:sz w:val="28"/>
          <w:szCs w:val="28"/>
        </w:rPr>
      </w:pPr>
      <w:bookmarkStart w:id="150" w:name="_Hlk46072697"/>
      <w:r>
        <w:rPr>
          <w:rFonts w:hint="eastAsia" w:ascii="仿宋" w:hAnsi="仿宋" w:eastAsia="仿宋" w:cs="仿宋"/>
          <w:sz w:val="28"/>
          <w:szCs w:val="28"/>
        </w:rPr>
        <w:t>资本性支出</w:t>
      </w:r>
      <w:bookmarkEnd w:id="150"/>
      <w:r>
        <w:rPr>
          <w:rFonts w:hint="eastAsia" w:ascii="仿宋" w:hAnsi="仿宋" w:eastAsia="仿宋" w:cs="仿宋"/>
          <w:sz w:val="28"/>
          <w:szCs w:val="28"/>
        </w:rPr>
        <w:t>包括维持原有的正常生产经营及新建项目的资金支出，被评估企业的前几年是分二期建设，资本性支出较多，正常生产经营后相对支出较少。</w:t>
      </w:r>
    </w:p>
    <w:tbl>
      <w:tblPr>
        <w:tblStyle w:val="54"/>
        <w:tblW w:w="9072" w:type="dxa"/>
        <w:tblInd w:w="108" w:type="dxa"/>
        <w:tblLayout w:type="fixed"/>
        <w:tblCellMar>
          <w:top w:w="0" w:type="dxa"/>
          <w:left w:w="108" w:type="dxa"/>
          <w:bottom w:w="0" w:type="dxa"/>
          <w:right w:w="108" w:type="dxa"/>
        </w:tblCellMar>
      </w:tblPr>
      <w:tblGrid>
        <w:gridCol w:w="1254"/>
        <w:gridCol w:w="837"/>
        <w:gridCol w:w="837"/>
        <w:gridCol w:w="837"/>
        <w:gridCol w:w="837"/>
        <w:gridCol w:w="838"/>
        <w:gridCol w:w="837"/>
        <w:gridCol w:w="837"/>
        <w:gridCol w:w="837"/>
        <w:gridCol w:w="1121"/>
      </w:tblGrid>
      <w:tr>
        <w:tblPrEx>
          <w:tblCellMar>
            <w:top w:w="0" w:type="dxa"/>
            <w:left w:w="108" w:type="dxa"/>
            <w:bottom w:w="0" w:type="dxa"/>
            <w:right w:w="108" w:type="dxa"/>
          </w:tblCellMar>
        </w:tblPrEx>
        <w:trPr>
          <w:trHeight w:val="285" w:hRule="atLeast"/>
        </w:trPr>
        <w:tc>
          <w:tcPr>
            <w:tcW w:w="9072" w:type="dxa"/>
            <w:gridSpan w:val="10"/>
            <w:tcBorders>
              <w:top w:val="nil"/>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sz w:val="28"/>
                <w:szCs w:val="28"/>
              </w:rPr>
              <w:t>资本性支出的预测</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仿宋" w:hAnsi="仿宋" w:eastAsia="仿宋" w:cs="仿宋"/>
                <w:sz w:val="28"/>
                <w:szCs w:val="28"/>
              </w:rPr>
            </w:pPr>
            <w:r>
              <w:rPr>
                <w:rFonts w:hint="eastAsia" w:ascii="仿宋" w:hAnsi="仿宋" w:eastAsia="仿宋" w:cs="仿宋"/>
                <w:sz w:val="21"/>
                <w:szCs w:val="21"/>
              </w:rPr>
              <w:t>金额单位：万元</w:t>
            </w:r>
          </w:p>
        </w:tc>
      </w:tr>
      <w:tr>
        <w:tblPrEx>
          <w:tblCellMar>
            <w:top w:w="0" w:type="dxa"/>
            <w:left w:w="108" w:type="dxa"/>
            <w:bottom w:w="0" w:type="dxa"/>
            <w:right w:w="108" w:type="dxa"/>
          </w:tblCellMar>
        </w:tblPrEx>
        <w:trPr>
          <w:trHeight w:val="402" w:hRule="atLeast"/>
        </w:trPr>
        <w:tc>
          <w:tcPr>
            <w:tcW w:w="12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项目</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2020年</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2021年</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2022年</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2023年</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2024年</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2025年</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2026年</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2027年</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2028-2068</w:t>
            </w:r>
          </w:p>
        </w:tc>
      </w:tr>
      <w:tr>
        <w:tblPrEx>
          <w:tblCellMar>
            <w:top w:w="0" w:type="dxa"/>
            <w:left w:w="108" w:type="dxa"/>
            <w:bottom w:w="0" w:type="dxa"/>
            <w:right w:w="108" w:type="dxa"/>
          </w:tblCellMar>
        </w:tblPrEx>
        <w:trPr>
          <w:trHeight w:val="480" w:hRule="atLeast"/>
        </w:trPr>
        <w:tc>
          <w:tcPr>
            <w:tcW w:w="1254"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资本性支出</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1200</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1200</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2200</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2200</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2200</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1400</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200</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200</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100</w:t>
            </w:r>
          </w:p>
        </w:tc>
      </w:tr>
    </w:tbl>
    <w:p>
      <w:pPr>
        <w:tabs>
          <w:tab w:val="left" w:pos="1470"/>
        </w:tabs>
        <w:spacing w:line="480" w:lineRule="exact"/>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w:t>
      </w:r>
      <w:bookmarkStart w:id="151" w:name="_Hlk46073098"/>
      <w:r>
        <w:rPr>
          <w:rFonts w:hint="eastAsia" w:ascii="仿宋" w:hAnsi="仿宋" w:eastAsia="仿宋" w:cs="仿宋"/>
          <w:sz w:val="28"/>
          <w:szCs w:val="28"/>
        </w:rPr>
        <w:t>营运资金的增加额</w:t>
      </w:r>
      <w:bookmarkEnd w:id="151"/>
      <w:r>
        <w:rPr>
          <w:rFonts w:ascii="仿宋" w:hAnsi="仿宋" w:eastAsia="仿宋" w:cs="仿宋"/>
          <w:sz w:val="28"/>
          <w:szCs w:val="28"/>
        </w:rPr>
        <w:tab/>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由于被评估企业处于前期阶段，本次评估不考虑营运资金的增加额。</w:t>
      </w:r>
    </w:p>
    <w:p>
      <w:pPr>
        <w:spacing w:line="480" w:lineRule="exact"/>
        <w:ind w:firstLine="570"/>
        <w:rPr>
          <w:rFonts w:ascii="仿宋" w:hAnsi="仿宋" w:eastAsia="仿宋" w:cs="仿宋"/>
          <w:sz w:val="28"/>
          <w:szCs w:val="28"/>
        </w:rPr>
      </w:pPr>
      <w:r>
        <w:rPr>
          <w:rFonts w:hint="eastAsia" w:ascii="仿宋" w:hAnsi="仿宋" w:eastAsia="仿宋" w:cs="仿宋"/>
          <w:sz w:val="28"/>
          <w:szCs w:val="28"/>
        </w:rPr>
        <w:t>综上所述，预测被评估企业的未来收益如下表：</w:t>
      </w:r>
    </w:p>
    <w:tbl>
      <w:tblPr>
        <w:tblStyle w:val="54"/>
        <w:tblW w:w="9072" w:type="dxa"/>
        <w:tblInd w:w="108" w:type="dxa"/>
        <w:tblLayout w:type="fixed"/>
        <w:tblCellMar>
          <w:top w:w="0" w:type="dxa"/>
          <w:left w:w="108" w:type="dxa"/>
          <w:bottom w:w="0" w:type="dxa"/>
          <w:right w:w="108" w:type="dxa"/>
        </w:tblCellMar>
      </w:tblPr>
      <w:tblGrid>
        <w:gridCol w:w="1276"/>
        <w:gridCol w:w="866"/>
        <w:gridCol w:w="866"/>
        <w:gridCol w:w="866"/>
        <w:gridCol w:w="866"/>
        <w:gridCol w:w="867"/>
        <w:gridCol w:w="866"/>
        <w:gridCol w:w="866"/>
        <w:gridCol w:w="866"/>
        <w:gridCol w:w="867"/>
      </w:tblGrid>
      <w:tr>
        <w:tblPrEx>
          <w:tblCellMar>
            <w:top w:w="0" w:type="dxa"/>
            <w:left w:w="108" w:type="dxa"/>
            <w:bottom w:w="0" w:type="dxa"/>
            <w:right w:w="108" w:type="dxa"/>
          </w:tblCellMar>
        </w:tblPrEx>
        <w:trPr>
          <w:trHeight w:val="285" w:hRule="atLeast"/>
        </w:trPr>
        <w:tc>
          <w:tcPr>
            <w:tcW w:w="9072" w:type="dxa"/>
            <w:gridSpan w:val="10"/>
            <w:tcBorders>
              <w:top w:val="nil"/>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sz w:val="28"/>
                <w:szCs w:val="28"/>
              </w:rPr>
              <w:t>未来收益预测</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仿宋" w:hAnsi="仿宋" w:eastAsia="仿宋" w:cs="宋体"/>
                <w:color w:val="000000"/>
                <w:kern w:val="0"/>
                <w:sz w:val="16"/>
                <w:szCs w:val="16"/>
              </w:rPr>
            </w:pPr>
            <w:r>
              <w:rPr>
                <w:rFonts w:hint="eastAsia" w:ascii="仿宋" w:hAnsi="仿宋" w:eastAsia="仿宋" w:cs="仿宋"/>
                <w:sz w:val="21"/>
                <w:szCs w:val="21"/>
              </w:rPr>
              <w:t>金额单位：万元</w:t>
            </w:r>
          </w:p>
        </w:tc>
      </w:tr>
      <w:tr>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项目</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2020年</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2021年</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2022年</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2023年</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2024年</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2025年</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2026年</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2027年</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2028-2068</w:t>
            </w:r>
          </w:p>
        </w:tc>
      </w:tr>
      <w:tr>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毛利润</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457.2</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533.92</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573.9</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739.5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905.6</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985.95</w:t>
            </w:r>
          </w:p>
        </w:tc>
      </w:tr>
      <w:tr>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净利润</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119.25</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148.59</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159.5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227.93</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301.1</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331.2</w:t>
            </w:r>
          </w:p>
        </w:tc>
      </w:tr>
      <w:tr>
        <w:tblPrEx>
          <w:tblCellMar>
            <w:top w:w="0" w:type="dxa"/>
            <w:left w:w="108" w:type="dxa"/>
            <w:bottom w:w="0" w:type="dxa"/>
            <w:right w:w="108" w:type="dxa"/>
          </w:tblCellMar>
        </w:tblPrEx>
        <w:trPr>
          <w:trHeight w:val="480" w:hRule="atLeast"/>
        </w:trPr>
        <w:tc>
          <w:tcPr>
            <w:tcW w:w="127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加：折旧及摊销</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279</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279</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279</w:t>
            </w:r>
          </w:p>
        </w:tc>
      </w:tr>
      <w:tr>
        <w:tblPrEx>
          <w:tblCellMar>
            <w:top w:w="0" w:type="dxa"/>
            <w:left w:w="108" w:type="dxa"/>
            <w:bottom w:w="0" w:type="dxa"/>
            <w:right w:w="108" w:type="dxa"/>
          </w:tblCellMar>
        </w:tblPrEx>
        <w:trPr>
          <w:trHeight w:val="480" w:hRule="atLeast"/>
        </w:trPr>
        <w:tc>
          <w:tcPr>
            <w:tcW w:w="127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加：资产减值损失</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64.38</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72.5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77.99</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94.04</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108.84</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117.52</w:t>
            </w:r>
          </w:p>
        </w:tc>
      </w:tr>
      <w:tr>
        <w:tblPrEx>
          <w:tblCellMar>
            <w:top w:w="0" w:type="dxa"/>
            <w:left w:w="108" w:type="dxa"/>
            <w:bottom w:w="0" w:type="dxa"/>
            <w:right w:w="108" w:type="dxa"/>
          </w:tblCellMar>
        </w:tblPrEx>
        <w:trPr>
          <w:trHeight w:val="480" w:hRule="atLeast"/>
        </w:trPr>
        <w:tc>
          <w:tcPr>
            <w:tcW w:w="127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减：资本性支出</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1200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1200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2200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2200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2200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1400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100</w:t>
            </w:r>
          </w:p>
        </w:tc>
      </w:tr>
      <w:tr>
        <w:tblPrEx>
          <w:tblCellMar>
            <w:top w:w="0" w:type="dxa"/>
            <w:left w:w="108" w:type="dxa"/>
            <w:bottom w:w="0" w:type="dxa"/>
            <w:right w:w="108" w:type="dxa"/>
          </w:tblCellMar>
        </w:tblPrEx>
        <w:trPr>
          <w:trHeight w:val="480" w:hRule="atLeast"/>
        </w:trPr>
        <w:tc>
          <w:tcPr>
            <w:tcW w:w="127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权益现金流量</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-1200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-1200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-2200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-1806.4</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-1768.9</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-952.51</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400.97</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488.94</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627.72</w:t>
            </w:r>
          </w:p>
        </w:tc>
      </w:tr>
    </w:tbl>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（四）折现率的确定</w:t>
      </w:r>
    </w:p>
    <w:p>
      <w:pPr>
        <w:spacing w:line="480" w:lineRule="exact"/>
        <w:ind w:firstLine="570"/>
        <w:rPr>
          <w:rFonts w:ascii="仿宋" w:hAnsi="仿宋" w:eastAsia="仿宋" w:cs="仿宋"/>
          <w:sz w:val="28"/>
          <w:szCs w:val="28"/>
        </w:rPr>
      </w:pPr>
      <w:r>
        <w:rPr>
          <w:rFonts w:hint="eastAsia" w:ascii="仿宋" w:hAnsi="仿宋" w:eastAsia="仿宋" w:cs="仿宋"/>
          <w:sz w:val="28"/>
          <w:szCs w:val="28"/>
        </w:rPr>
        <w:t>按照收益额与折现率</w:t>
      </w:r>
      <w:bookmarkStart w:id="152" w:name="_Hlk46073418"/>
      <w:r>
        <w:rPr>
          <w:rFonts w:hint="eastAsia" w:ascii="仿宋" w:hAnsi="仿宋" w:eastAsia="仿宋" w:cs="仿宋"/>
          <w:sz w:val="28"/>
          <w:szCs w:val="28"/>
        </w:rPr>
        <w:t>口径</w:t>
      </w:r>
      <w:bookmarkEnd w:id="152"/>
      <w:r>
        <w:rPr>
          <w:rFonts w:hint="eastAsia" w:ascii="仿宋" w:hAnsi="仿宋" w:eastAsia="仿宋" w:cs="仿宋"/>
          <w:sz w:val="28"/>
          <w:szCs w:val="28"/>
        </w:rPr>
        <w:t>一致的原则，本次评估收益额口径为权益现金流量，按资本资产定价模型确定折现率。</w:t>
      </w:r>
    </w:p>
    <w:p>
      <w:pPr>
        <w:spacing w:line="480" w:lineRule="exact"/>
        <w:ind w:firstLine="840" w:firstLineChars="300"/>
        <w:rPr>
          <w:rFonts w:ascii="仿宋" w:hAnsi="仿宋" w:eastAsia="仿宋" w:cs="仿宋"/>
          <w:sz w:val="28"/>
          <w:szCs w:val="28"/>
        </w:rPr>
      </w:pPr>
      <w:bookmarkStart w:id="153" w:name="_Hlk46074317"/>
      <w:r>
        <w:rPr>
          <w:rFonts w:ascii="仿宋" w:hAnsi="仿宋" w:eastAsia="仿宋" w:cs="仿宋"/>
          <w:sz w:val="28"/>
          <w:szCs w:val="28"/>
        </w:rPr>
        <w:t>r=</w:t>
      </w:r>
      <w:bookmarkEnd w:id="153"/>
      <w:bookmarkStart w:id="154" w:name="_Hlk46073610"/>
      <w:bookmarkStart w:id="155" w:name="_Hlk46073669"/>
      <w:r>
        <w:rPr>
          <w:rFonts w:ascii="仿宋" w:hAnsi="仿宋" w:eastAsia="仿宋" w:cs="仿宋"/>
          <w:sz w:val="28"/>
          <w:szCs w:val="28"/>
        </w:rPr>
        <w:t>r</w:t>
      </w:r>
      <w:bookmarkEnd w:id="154"/>
      <w:r>
        <w:rPr>
          <w:rFonts w:ascii="仿宋" w:hAnsi="仿宋" w:eastAsia="仿宋" w:cs="仿宋"/>
          <w:sz w:val="28"/>
          <w:szCs w:val="28"/>
          <w:vertAlign w:val="subscript"/>
        </w:rPr>
        <w:t>f</w:t>
      </w:r>
      <w:bookmarkEnd w:id="155"/>
      <w:r>
        <w:rPr>
          <w:rFonts w:ascii="仿宋" w:hAnsi="仿宋" w:eastAsia="仿宋" w:cs="仿宋"/>
          <w:sz w:val="28"/>
          <w:szCs w:val="28"/>
        </w:rPr>
        <w:t>+</w:t>
      </w:r>
      <w:bookmarkStart w:id="156" w:name="_Hlk46073946"/>
      <w:r>
        <w:rPr>
          <w:rFonts w:ascii="仿宋" w:hAnsi="仿宋" w:eastAsia="仿宋" w:cs="仿宋"/>
          <w:sz w:val="28"/>
          <w:szCs w:val="28"/>
        </w:rPr>
        <w:sym w:font="Symbol" w:char="F062"/>
      </w:r>
      <w:bookmarkEnd w:id="156"/>
      <w:bookmarkStart w:id="157" w:name="_Hlk46074360"/>
      <w:r>
        <w:rPr>
          <w:rFonts w:ascii="仿宋" w:hAnsi="仿宋" w:eastAsia="仿宋" w:cs="仿宋"/>
          <w:sz w:val="28"/>
          <w:szCs w:val="28"/>
        </w:rPr>
        <w:sym w:font="Symbol" w:char="F0B4"/>
      </w:r>
      <w:bookmarkEnd w:id="157"/>
      <w:r>
        <w:rPr>
          <w:rFonts w:ascii="仿宋" w:hAnsi="仿宋" w:eastAsia="仿宋" w:cs="仿宋"/>
          <w:sz w:val="28"/>
          <w:szCs w:val="28"/>
        </w:rPr>
        <w:t>(</w:t>
      </w:r>
      <w:bookmarkStart w:id="158" w:name="_Hlk46073853"/>
      <w:r>
        <w:rPr>
          <w:rFonts w:ascii="仿宋" w:hAnsi="仿宋" w:eastAsia="仿宋" w:cs="仿宋"/>
          <w:sz w:val="28"/>
          <w:szCs w:val="28"/>
        </w:rPr>
        <w:t>r</w:t>
      </w:r>
      <w:r>
        <w:rPr>
          <w:rFonts w:ascii="仿宋" w:hAnsi="仿宋" w:eastAsia="仿宋" w:cs="仿宋"/>
          <w:sz w:val="28"/>
          <w:szCs w:val="28"/>
          <w:vertAlign w:val="subscript"/>
        </w:rPr>
        <w:t>m</w:t>
      </w:r>
      <w:bookmarkEnd w:id="158"/>
      <w:r>
        <w:rPr>
          <w:rFonts w:ascii="仿宋" w:hAnsi="仿宋" w:eastAsia="仿宋" w:cs="仿宋"/>
          <w:sz w:val="28"/>
          <w:szCs w:val="28"/>
        </w:rPr>
        <w:t>-r</w:t>
      </w:r>
      <w:r>
        <w:rPr>
          <w:rFonts w:ascii="仿宋" w:hAnsi="仿宋" w:eastAsia="仿宋" w:cs="仿宋"/>
          <w:sz w:val="28"/>
          <w:szCs w:val="28"/>
          <w:vertAlign w:val="subscript"/>
        </w:rPr>
        <w:t>f</w:t>
      </w:r>
      <w:r>
        <w:rPr>
          <w:rFonts w:ascii="仿宋" w:hAnsi="仿宋" w:eastAsia="仿宋" w:cs="仿宋"/>
          <w:sz w:val="28"/>
          <w:szCs w:val="28"/>
        </w:rPr>
        <w:t>)+</w:t>
      </w:r>
      <w:bookmarkStart w:id="159" w:name="_Hlk46074017"/>
      <w:r>
        <w:rPr>
          <w:rFonts w:ascii="仿宋" w:hAnsi="仿宋" w:eastAsia="仿宋" w:cs="仿宋"/>
          <w:sz w:val="28"/>
          <w:szCs w:val="28"/>
        </w:rPr>
        <w:t>r</w:t>
      </w:r>
      <w:r>
        <w:rPr>
          <w:rFonts w:ascii="仿宋" w:hAnsi="仿宋" w:eastAsia="仿宋" w:cs="仿宋"/>
          <w:sz w:val="28"/>
          <w:szCs w:val="28"/>
          <w:vertAlign w:val="subscript"/>
        </w:rPr>
        <w:t>u</w:t>
      </w:r>
      <w:bookmarkEnd w:id="159"/>
    </w:p>
    <w:p>
      <w:pPr>
        <w:spacing w:line="480" w:lineRule="exact"/>
        <w:ind w:firstLine="840" w:firstLineChars="300"/>
        <w:rPr>
          <w:rFonts w:ascii="仿宋" w:hAnsi="仿宋" w:eastAsia="仿宋" w:cs="仿宋"/>
          <w:sz w:val="28"/>
          <w:szCs w:val="28"/>
        </w:rPr>
      </w:pPr>
      <w:r>
        <w:rPr>
          <w:rFonts w:ascii="仿宋" w:hAnsi="仿宋" w:eastAsia="仿宋" w:cs="仿宋"/>
          <w:sz w:val="28"/>
          <w:szCs w:val="28"/>
        </w:rPr>
        <w:t>r</w:t>
      </w:r>
      <w:r>
        <w:rPr>
          <w:rFonts w:ascii="仿宋" w:hAnsi="仿宋" w:eastAsia="仿宋" w:cs="仿宋"/>
          <w:sz w:val="28"/>
          <w:szCs w:val="28"/>
          <w:vertAlign w:val="subscript"/>
        </w:rPr>
        <w:t>f</w:t>
      </w:r>
      <w:bookmarkStart w:id="160" w:name="_Hlk46073787"/>
      <w:r>
        <w:rPr>
          <w:rFonts w:hint="eastAsia" w:ascii="仿宋" w:hAnsi="仿宋" w:eastAsia="仿宋" w:cs="仿宋"/>
          <w:sz w:val="28"/>
          <w:szCs w:val="28"/>
        </w:rPr>
        <w:t>为</w:t>
      </w:r>
      <w:bookmarkEnd w:id="160"/>
      <w:r>
        <w:rPr>
          <w:rFonts w:hint="eastAsia" w:ascii="仿宋" w:hAnsi="仿宋" w:eastAsia="仿宋" w:cs="仿宋"/>
          <w:sz w:val="28"/>
          <w:szCs w:val="28"/>
        </w:rPr>
        <w:t>无风险报酬率，参照一年期固定存款利率，即</w:t>
      </w:r>
      <w:r>
        <w:rPr>
          <w:rFonts w:ascii="仿宋" w:hAnsi="仿宋" w:eastAsia="仿宋" w:cs="仿宋"/>
          <w:sz w:val="28"/>
          <w:szCs w:val="28"/>
        </w:rPr>
        <w:t>r</w:t>
      </w:r>
      <w:r>
        <w:rPr>
          <w:rFonts w:ascii="仿宋" w:hAnsi="仿宋" w:eastAsia="仿宋" w:cs="仿宋"/>
          <w:sz w:val="28"/>
          <w:szCs w:val="28"/>
          <w:vertAlign w:val="subscript"/>
        </w:rPr>
        <w:t>f</w:t>
      </w:r>
      <w:r>
        <w:rPr>
          <w:rFonts w:hint="eastAsia" w:ascii="仿宋" w:hAnsi="仿宋" w:eastAsia="仿宋" w:cs="仿宋"/>
          <w:sz w:val="28"/>
          <w:szCs w:val="28"/>
        </w:rPr>
        <w:t>为1.</w:t>
      </w:r>
      <w:r>
        <w:rPr>
          <w:rFonts w:ascii="仿宋" w:hAnsi="仿宋" w:eastAsia="仿宋" w:cs="仿宋"/>
          <w:sz w:val="28"/>
          <w:szCs w:val="28"/>
        </w:rPr>
        <w:t>5</w:t>
      </w:r>
      <w:r>
        <w:rPr>
          <w:rFonts w:hint="eastAsia" w:ascii="仿宋" w:hAnsi="仿宋" w:eastAsia="仿宋" w:cs="仿宋"/>
          <w:sz w:val="28"/>
          <w:szCs w:val="28"/>
        </w:rPr>
        <w:t>%；</w:t>
      </w:r>
      <w:r>
        <w:rPr>
          <w:rFonts w:ascii="仿宋" w:hAnsi="仿宋" w:eastAsia="仿宋" w:cs="仿宋"/>
          <w:sz w:val="28"/>
          <w:szCs w:val="28"/>
        </w:rPr>
        <w:t>r</w:t>
      </w:r>
      <w:r>
        <w:rPr>
          <w:rFonts w:ascii="仿宋" w:hAnsi="仿宋" w:eastAsia="仿宋" w:cs="仿宋"/>
          <w:sz w:val="28"/>
          <w:szCs w:val="28"/>
          <w:vertAlign w:val="subscript"/>
        </w:rPr>
        <w:t>m</w:t>
      </w:r>
      <w:r>
        <w:rPr>
          <w:rFonts w:hint="eastAsia" w:ascii="仿宋" w:hAnsi="仿宋" w:eastAsia="仿宋" w:cs="仿宋"/>
          <w:sz w:val="28"/>
          <w:szCs w:val="28"/>
        </w:rPr>
        <w:t>为市场期望报酬率，本次取值8%；</w:t>
      </w:r>
      <w:r>
        <w:rPr>
          <w:rFonts w:ascii="仿宋" w:hAnsi="仿宋" w:eastAsia="仿宋" w:cs="仿宋"/>
          <w:sz w:val="28"/>
          <w:szCs w:val="28"/>
        </w:rPr>
        <w:sym w:font="Symbol" w:char="F062"/>
      </w:r>
      <w:r>
        <w:rPr>
          <w:rFonts w:hint="eastAsia" w:ascii="仿宋" w:hAnsi="仿宋" w:eastAsia="仿宋" w:cs="仿宋"/>
          <w:sz w:val="28"/>
          <w:szCs w:val="28"/>
        </w:rPr>
        <w:t>为权益的风险系数，本次评估取均值0.</w:t>
      </w:r>
      <w:r>
        <w:rPr>
          <w:rFonts w:ascii="仿宋" w:hAnsi="仿宋" w:eastAsia="仿宋" w:cs="仿宋"/>
          <w:sz w:val="28"/>
          <w:szCs w:val="28"/>
        </w:rPr>
        <w:t>8</w:t>
      </w:r>
      <w:r>
        <w:rPr>
          <w:rFonts w:hint="eastAsia" w:ascii="仿宋" w:hAnsi="仿宋" w:eastAsia="仿宋" w:cs="仿宋"/>
          <w:sz w:val="28"/>
          <w:szCs w:val="28"/>
        </w:rPr>
        <w:t>；</w:t>
      </w:r>
      <w:r>
        <w:rPr>
          <w:rFonts w:ascii="仿宋" w:hAnsi="仿宋" w:eastAsia="仿宋" w:cs="仿宋"/>
          <w:sz w:val="28"/>
          <w:szCs w:val="28"/>
        </w:rPr>
        <w:t>r</w:t>
      </w:r>
      <w:r>
        <w:rPr>
          <w:rFonts w:ascii="仿宋" w:hAnsi="仿宋" w:eastAsia="仿宋" w:cs="仿宋"/>
          <w:sz w:val="28"/>
          <w:szCs w:val="28"/>
          <w:vertAlign w:val="subscript"/>
        </w:rPr>
        <w:t>u</w:t>
      </w:r>
      <w:r>
        <w:rPr>
          <w:rFonts w:hint="eastAsia" w:ascii="仿宋" w:hAnsi="仿宋" w:eastAsia="仿宋" w:cs="仿宋"/>
          <w:sz w:val="28"/>
          <w:szCs w:val="28"/>
        </w:rPr>
        <w:t>为特定风险调整系数，由于被评估企业没有超额收益，本次评估暂不考虑。</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本次评估折现率</w:t>
      </w:r>
      <w:r>
        <w:rPr>
          <w:rFonts w:ascii="仿宋" w:hAnsi="仿宋" w:eastAsia="仿宋" w:cs="仿宋"/>
          <w:sz w:val="28"/>
          <w:szCs w:val="28"/>
        </w:rPr>
        <w:t>r=1.</w:t>
      </w:r>
      <w:r>
        <w:rPr>
          <w:rFonts w:hint="eastAsia" w:ascii="仿宋" w:hAnsi="仿宋" w:eastAsia="仿宋" w:cs="仿宋"/>
          <w:sz w:val="28"/>
          <w:szCs w:val="28"/>
        </w:rPr>
        <w:t>5%+</w:t>
      </w:r>
      <w:r>
        <w:rPr>
          <w:rFonts w:ascii="仿宋" w:hAnsi="仿宋" w:eastAsia="仿宋" w:cs="仿宋"/>
          <w:sz w:val="28"/>
          <w:szCs w:val="28"/>
        </w:rPr>
        <w:t>0.8</w:t>
      </w:r>
      <w:r>
        <w:rPr>
          <w:rFonts w:ascii="仿宋" w:hAnsi="仿宋" w:eastAsia="仿宋" w:cs="仿宋"/>
          <w:sz w:val="28"/>
          <w:szCs w:val="28"/>
        </w:rPr>
        <w:sym w:font="Symbol" w:char="F0B4"/>
      </w:r>
      <w:r>
        <w:rPr>
          <w:rFonts w:hint="eastAsia" w:ascii="仿宋" w:hAnsi="仿宋" w:eastAsia="仿宋" w:cs="仿宋"/>
          <w:sz w:val="28"/>
          <w:szCs w:val="28"/>
        </w:rPr>
        <w:t xml:space="preserve"> (</w:t>
      </w:r>
      <w:r>
        <w:rPr>
          <w:rFonts w:ascii="仿宋" w:hAnsi="仿宋" w:eastAsia="仿宋" w:cs="仿宋"/>
          <w:sz w:val="28"/>
          <w:szCs w:val="28"/>
        </w:rPr>
        <w:t>8</w:t>
      </w:r>
      <w:r>
        <w:rPr>
          <w:rFonts w:hint="eastAsia" w:ascii="仿宋" w:hAnsi="仿宋" w:eastAsia="仿宋" w:cs="仿宋"/>
          <w:sz w:val="28"/>
          <w:szCs w:val="28"/>
        </w:rPr>
        <w:t>%</w:t>
      </w:r>
      <w:r>
        <w:rPr>
          <w:rFonts w:ascii="仿宋" w:hAnsi="仿宋" w:eastAsia="仿宋" w:cs="仿宋"/>
          <w:sz w:val="28"/>
          <w:szCs w:val="28"/>
        </w:rPr>
        <w:t>-1.5</w:t>
      </w:r>
      <w:r>
        <w:rPr>
          <w:rFonts w:hint="eastAsia" w:ascii="仿宋" w:hAnsi="仿宋" w:eastAsia="仿宋" w:cs="仿宋"/>
          <w:sz w:val="28"/>
          <w:szCs w:val="28"/>
        </w:rPr>
        <w:t>%)</w:t>
      </w:r>
      <w:r>
        <w:rPr>
          <w:rFonts w:ascii="仿宋" w:hAnsi="仿宋" w:eastAsia="仿宋" w:cs="仿宋"/>
          <w:sz w:val="28"/>
          <w:szCs w:val="28"/>
        </w:rPr>
        <w:sym w:font="Symbol" w:char="F0BB"/>
      </w:r>
      <w:r>
        <w:rPr>
          <w:rFonts w:ascii="仿宋" w:hAnsi="仿宋" w:eastAsia="仿宋" w:cs="仿宋"/>
          <w:sz w:val="28"/>
          <w:szCs w:val="28"/>
        </w:rPr>
        <w:t>7</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（五）收益期限的确定</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iCs/>
          <w:color w:val="000000"/>
          <w:kern w:val="0"/>
          <w:sz w:val="28"/>
          <w:szCs w:val="28"/>
        </w:rPr>
        <w:t>本次评估的收益期设定为有限期，即从评估基准日至现有土地使用权终止日（从2</w:t>
      </w:r>
      <w:r>
        <w:rPr>
          <w:rFonts w:ascii="仿宋" w:hAnsi="仿宋" w:eastAsia="仿宋" w:cs="仿宋"/>
          <w:iCs/>
          <w:color w:val="000000"/>
          <w:kern w:val="0"/>
          <w:sz w:val="28"/>
          <w:szCs w:val="28"/>
        </w:rPr>
        <w:t>020</w:t>
      </w:r>
      <w:r>
        <w:rPr>
          <w:rFonts w:hint="eastAsia" w:ascii="仿宋" w:hAnsi="仿宋" w:eastAsia="仿宋" w:cs="仿宋"/>
          <w:iCs/>
          <w:color w:val="000000"/>
          <w:kern w:val="0"/>
          <w:sz w:val="28"/>
          <w:szCs w:val="28"/>
        </w:rPr>
        <w:t>年</w:t>
      </w:r>
      <w:r>
        <w:rPr>
          <w:rFonts w:ascii="仿宋" w:hAnsi="仿宋" w:eastAsia="仿宋" w:cs="仿宋"/>
          <w:iCs/>
          <w:color w:val="000000"/>
          <w:kern w:val="0"/>
          <w:sz w:val="28"/>
          <w:szCs w:val="28"/>
        </w:rPr>
        <w:t>06</w:t>
      </w:r>
      <w:r>
        <w:rPr>
          <w:rFonts w:hint="eastAsia" w:ascii="仿宋" w:hAnsi="仿宋" w:eastAsia="仿宋" w:cs="仿宋"/>
          <w:iCs/>
          <w:color w:val="000000"/>
          <w:kern w:val="0"/>
          <w:sz w:val="28"/>
          <w:szCs w:val="28"/>
        </w:rPr>
        <w:t>月3</w:t>
      </w:r>
      <w:r>
        <w:rPr>
          <w:rFonts w:ascii="仿宋" w:hAnsi="仿宋" w:eastAsia="仿宋" w:cs="仿宋"/>
          <w:iCs/>
          <w:color w:val="000000"/>
          <w:kern w:val="0"/>
          <w:sz w:val="28"/>
          <w:szCs w:val="28"/>
        </w:rPr>
        <w:t>0</w:t>
      </w:r>
      <w:r>
        <w:rPr>
          <w:rFonts w:hint="eastAsia" w:ascii="仿宋" w:hAnsi="仿宋" w:eastAsia="仿宋" w:cs="仿宋"/>
          <w:iCs/>
          <w:color w:val="000000"/>
          <w:kern w:val="0"/>
          <w:sz w:val="28"/>
          <w:szCs w:val="28"/>
        </w:rPr>
        <w:t>日至2</w:t>
      </w:r>
      <w:r>
        <w:rPr>
          <w:rFonts w:ascii="仿宋" w:hAnsi="仿宋" w:eastAsia="仿宋" w:cs="仿宋"/>
          <w:iCs/>
          <w:color w:val="000000"/>
          <w:kern w:val="0"/>
          <w:sz w:val="28"/>
          <w:szCs w:val="28"/>
        </w:rPr>
        <w:t>068</w:t>
      </w:r>
      <w:r>
        <w:rPr>
          <w:rFonts w:hint="eastAsia" w:ascii="仿宋" w:hAnsi="仿宋" w:eastAsia="仿宋" w:cs="仿宋"/>
          <w:iCs/>
          <w:color w:val="000000"/>
          <w:kern w:val="0"/>
          <w:sz w:val="28"/>
          <w:szCs w:val="28"/>
        </w:rPr>
        <w:t>年0</w:t>
      </w:r>
      <w:r>
        <w:rPr>
          <w:rFonts w:ascii="仿宋" w:hAnsi="仿宋" w:eastAsia="仿宋" w:cs="仿宋"/>
          <w:iCs/>
          <w:color w:val="000000"/>
          <w:kern w:val="0"/>
          <w:sz w:val="28"/>
          <w:szCs w:val="28"/>
        </w:rPr>
        <w:t>6</w:t>
      </w:r>
      <w:r>
        <w:rPr>
          <w:rFonts w:hint="eastAsia" w:ascii="仿宋" w:hAnsi="仿宋" w:eastAsia="仿宋" w:cs="仿宋"/>
          <w:iCs/>
          <w:color w:val="000000"/>
          <w:kern w:val="0"/>
          <w:sz w:val="28"/>
          <w:szCs w:val="28"/>
        </w:rPr>
        <w:t>月2</w:t>
      </w:r>
      <w:r>
        <w:rPr>
          <w:rFonts w:ascii="仿宋" w:hAnsi="仿宋" w:eastAsia="仿宋" w:cs="仿宋"/>
          <w:iCs/>
          <w:color w:val="000000"/>
          <w:kern w:val="0"/>
          <w:sz w:val="28"/>
          <w:szCs w:val="28"/>
        </w:rPr>
        <w:t>1</w:t>
      </w:r>
      <w:r>
        <w:rPr>
          <w:rFonts w:hint="eastAsia" w:ascii="仿宋" w:hAnsi="仿宋" w:eastAsia="仿宋" w:cs="仿宋"/>
          <w:iCs/>
          <w:color w:val="000000"/>
          <w:kern w:val="0"/>
          <w:sz w:val="28"/>
          <w:szCs w:val="28"/>
        </w:rPr>
        <w:t>日），分成三个阶段，即第一阶段，从2</w:t>
      </w:r>
      <w:r>
        <w:rPr>
          <w:rFonts w:ascii="仿宋" w:hAnsi="仿宋" w:eastAsia="仿宋" w:cs="仿宋"/>
          <w:iCs/>
          <w:color w:val="000000"/>
          <w:kern w:val="0"/>
          <w:sz w:val="28"/>
          <w:szCs w:val="28"/>
        </w:rPr>
        <w:t>020</w:t>
      </w:r>
      <w:r>
        <w:rPr>
          <w:rFonts w:hint="eastAsia" w:ascii="仿宋" w:hAnsi="仿宋" w:eastAsia="仿宋" w:cs="仿宋"/>
          <w:iCs/>
          <w:color w:val="000000"/>
          <w:kern w:val="0"/>
          <w:sz w:val="28"/>
          <w:szCs w:val="28"/>
        </w:rPr>
        <w:t>年</w:t>
      </w:r>
      <w:r>
        <w:rPr>
          <w:rFonts w:ascii="仿宋" w:hAnsi="仿宋" w:eastAsia="仿宋" w:cs="仿宋"/>
          <w:iCs/>
          <w:color w:val="000000"/>
          <w:kern w:val="0"/>
          <w:sz w:val="28"/>
          <w:szCs w:val="28"/>
        </w:rPr>
        <w:t>06</w:t>
      </w:r>
      <w:r>
        <w:rPr>
          <w:rFonts w:hint="eastAsia" w:ascii="仿宋" w:hAnsi="仿宋" w:eastAsia="仿宋" w:cs="仿宋"/>
          <w:iCs/>
          <w:color w:val="000000"/>
          <w:kern w:val="0"/>
          <w:sz w:val="28"/>
          <w:szCs w:val="28"/>
        </w:rPr>
        <w:t>月3</w:t>
      </w:r>
      <w:r>
        <w:rPr>
          <w:rFonts w:ascii="仿宋" w:hAnsi="仿宋" w:eastAsia="仿宋" w:cs="仿宋"/>
          <w:iCs/>
          <w:color w:val="000000"/>
          <w:kern w:val="0"/>
          <w:sz w:val="28"/>
          <w:szCs w:val="28"/>
        </w:rPr>
        <w:t>0</w:t>
      </w:r>
      <w:r>
        <w:rPr>
          <w:rFonts w:hint="eastAsia" w:ascii="仿宋" w:hAnsi="仿宋" w:eastAsia="仿宋" w:cs="仿宋"/>
          <w:iCs/>
          <w:color w:val="000000"/>
          <w:kern w:val="0"/>
          <w:sz w:val="28"/>
          <w:szCs w:val="28"/>
        </w:rPr>
        <w:t>日至2</w:t>
      </w:r>
      <w:r>
        <w:rPr>
          <w:rFonts w:ascii="仿宋" w:hAnsi="仿宋" w:eastAsia="仿宋" w:cs="仿宋"/>
          <w:iCs/>
          <w:color w:val="000000"/>
          <w:kern w:val="0"/>
          <w:sz w:val="28"/>
          <w:szCs w:val="28"/>
        </w:rPr>
        <w:t>022</w:t>
      </w:r>
      <w:r>
        <w:rPr>
          <w:rFonts w:hint="eastAsia" w:ascii="仿宋" w:hAnsi="仿宋" w:eastAsia="仿宋" w:cs="仿宋"/>
          <w:iCs/>
          <w:color w:val="000000"/>
          <w:kern w:val="0"/>
          <w:sz w:val="28"/>
          <w:szCs w:val="28"/>
        </w:rPr>
        <w:t>年</w:t>
      </w:r>
      <w:r>
        <w:rPr>
          <w:rFonts w:ascii="仿宋" w:hAnsi="仿宋" w:eastAsia="仿宋" w:cs="仿宋"/>
          <w:iCs/>
          <w:color w:val="000000"/>
          <w:kern w:val="0"/>
          <w:sz w:val="28"/>
          <w:szCs w:val="28"/>
        </w:rPr>
        <w:t>12</w:t>
      </w:r>
      <w:r>
        <w:rPr>
          <w:rFonts w:hint="eastAsia" w:ascii="仿宋" w:hAnsi="仿宋" w:eastAsia="仿宋" w:cs="仿宋"/>
          <w:iCs/>
          <w:color w:val="000000"/>
          <w:kern w:val="0"/>
          <w:sz w:val="28"/>
          <w:szCs w:val="28"/>
        </w:rPr>
        <w:t>月</w:t>
      </w:r>
      <w:r>
        <w:rPr>
          <w:rFonts w:ascii="仿宋" w:hAnsi="仿宋" w:eastAsia="仿宋" w:cs="仿宋"/>
          <w:iCs/>
          <w:color w:val="000000"/>
          <w:kern w:val="0"/>
          <w:sz w:val="28"/>
          <w:szCs w:val="28"/>
        </w:rPr>
        <w:t>31</w:t>
      </w:r>
      <w:r>
        <w:rPr>
          <w:rFonts w:hint="eastAsia" w:ascii="仿宋" w:hAnsi="仿宋" w:eastAsia="仿宋" w:cs="仿宋"/>
          <w:iCs/>
          <w:color w:val="000000"/>
          <w:kern w:val="0"/>
          <w:sz w:val="28"/>
          <w:szCs w:val="28"/>
        </w:rPr>
        <w:t>日；第二阶段，从2</w:t>
      </w:r>
      <w:r>
        <w:rPr>
          <w:rFonts w:ascii="仿宋" w:hAnsi="仿宋" w:eastAsia="仿宋" w:cs="仿宋"/>
          <w:iCs/>
          <w:color w:val="000000"/>
          <w:kern w:val="0"/>
          <w:sz w:val="28"/>
          <w:szCs w:val="28"/>
        </w:rPr>
        <w:t>023</w:t>
      </w:r>
      <w:r>
        <w:rPr>
          <w:rFonts w:hint="eastAsia" w:ascii="仿宋" w:hAnsi="仿宋" w:eastAsia="仿宋" w:cs="仿宋"/>
          <w:iCs/>
          <w:color w:val="000000"/>
          <w:kern w:val="0"/>
          <w:sz w:val="28"/>
          <w:szCs w:val="28"/>
        </w:rPr>
        <w:t>年</w:t>
      </w:r>
      <w:r>
        <w:rPr>
          <w:rFonts w:ascii="仿宋" w:hAnsi="仿宋" w:eastAsia="仿宋" w:cs="仿宋"/>
          <w:iCs/>
          <w:color w:val="000000"/>
          <w:kern w:val="0"/>
          <w:sz w:val="28"/>
          <w:szCs w:val="28"/>
        </w:rPr>
        <w:t>01</w:t>
      </w:r>
      <w:r>
        <w:rPr>
          <w:rFonts w:hint="eastAsia" w:ascii="仿宋" w:hAnsi="仿宋" w:eastAsia="仿宋" w:cs="仿宋"/>
          <w:iCs/>
          <w:color w:val="000000"/>
          <w:kern w:val="0"/>
          <w:sz w:val="28"/>
          <w:szCs w:val="28"/>
        </w:rPr>
        <w:t>月</w:t>
      </w:r>
      <w:r>
        <w:rPr>
          <w:rFonts w:ascii="仿宋" w:hAnsi="仿宋" w:eastAsia="仿宋" w:cs="仿宋"/>
          <w:iCs/>
          <w:color w:val="000000"/>
          <w:kern w:val="0"/>
          <w:sz w:val="28"/>
          <w:szCs w:val="28"/>
        </w:rPr>
        <w:t>01</w:t>
      </w:r>
      <w:r>
        <w:rPr>
          <w:rFonts w:hint="eastAsia" w:ascii="仿宋" w:hAnsi="仿宋" w:eastAsia="仿宋" w:cs="仿宋"/>
          <w:iCs/>
          <w:color w:val="000000"/>
          <w:kern w:val="0"/>
          <w:sz w:val="28"/>
          <w:szCs w:val="28"/>
        </w:rPr>
        <w:t>日至2</w:t>
      </w:r>
      <w:r>
        <w:rPr>
          <w:rFonts w:ascii="仿宋" w:hAnsi="仿宋" w:eastAsia="仿宋" w:cs="仿宋"/>
          <w:iCs/>
          <w:color w:val="000000"/>
          <w:kern w:val="0"/>
          <w:sz w:val="28"/>
          <w:szCs w:val="28"/>
        </w:rPr>
        <w:t>025</w:t>
      </w:r>
      <w:r>
        <w:rPr>
          <w:rFonts w:hint="eastAsia" w:ascii="仿宋" w:hAnsi="仿宋" w:eastAsia="仿宋" w:cs="仿宋"/>
          <w:iCs/>
          <w:color w:val="000000"/>
          <w:kern w:val="0"/>
          <w:sz w:val="28"/>
          <w:szCs w:val="28"/>
        </w:rPr>
        <w:t>年</w:t>
      </w:r>
      <w:r>
        <w:rPr>
          <w:rFonts w:ascii="仿宋" w:hAnsi="仿宋" w:eastAsia="仿宋" w:cs="仿宋"/>
          <w:iCs/>
          <w:color w:val="000000"/>
          <w:kern w:val="0"/>
          <w:sz w:val="28"/>
          <w:szCs w:val="28"/>
        </w:rPr>
        <w:t>12</w:t>
      </w:r>
      <w:r>
        <w:rPr>
          <w:rFonts w:hint="eastAsia" w:ascii="仿宋" w:hAnsi="仿宋" w:eastAsia="仿宋" w:cs="仿宋"/>
          <w:iCs/>
          <w:color w:val="000000"/>
          <w:kern w:val="0"/>
          <w:sz w:val="28"/>
          <w:szCs w:val="28"/>
        </w:rPr>
        <w:t>月</w:t>
      </w:r>
      <w:r>
        <w:rPr>
          <w:rFonts w:ascii="仿宋" w:hAnsi="仿宋" w:eastAsia="仿宋" w:cs="仿宋"/>
          <w:iCs/>
          <w:color w:val="000000"/>
          <w:kern w:val="0"/>
          <w:sz w:val="28"/>
          <w:szCs w:val="28"/>
        </w:rPr>
        <w:t>31</w:t>
      </w:r>
      <w:r>
        <w:rPr>
          <w:rFonts w:hint="eastAsia" w:ascii="仿宋" w:hAnsi="仿宋" w:eastAsia="仿宋" w:cs="仿宋"/>
          <w:iCs/>
          <w:color w:val="000000"/>
          <w:kern w:val="0"/>
          <w:sz w:val="28"/>
          <w:szCs w:val="28"/>
        </w:rPr>
        <w:t>日；第三阶段，从2</w:t>
      </w:r>
      <w:r>
        <w:rPr>
          <w:rFonts w:ascii="仿宋" w:hAnsi="仿宋" w:eastAsia="仿宋" w:cs="仿宋"/>
          <w:iCs/>
          <w:color w:val="000000"/>
          <w:kern w:val="0"/>
          <w:sz w:val="28"/>
          <w:szCs w:val="28"/>
        </w:rPr>
        <w:t>026</w:t>
      </w:r>
      <w:r>
        <w:rPr>
          <w:rFonts w:hint="eastAsia" w:ascii="仿宋" w:hAnsi="仿宋" w:eastAsia="仿宋" w:cs="仿宋"/>
          <w:iCs/>
          <w:color w:val="000000"/>
          <w:kern w:val="0"/>
          <w:sz w:val="28"/>
          <w:szCs w:val="28"/>
        </w:rPr>
        <w:t>年</w:t>
      </w:r>
      <w:r>
        <w:rPr>
          <w:rFonts w:ascii="仿宋" w:hAnsi="仿宋" w:eastAsia="仿宋" w:cs="仿宋"/>
          <w:iCs/>
          <w:color w:val="000000"/>
          <w:kern w:val="0"/>
          <w:sz w:val="28"/>
          <w:szCs w:val="28"/>
        </w:rPr>
        <w:t>01</w:t>
      </w:r>
      <w:r>
        <w:rPr>
          <w:rFonts w:hint="eastAsia" w:ascii="仿宋" w:hAnsi="仿宋" w:eastAsia="仿宋" w:cs="仿宋"/>
          <w:iCs/>
          <w:color w:val="000000"/>
          <w:kern w:val="0"/>
          <w:sz w:val="28"/>
          <w:szCs w:val="28"/>
        </w:rPr>
        <w:t>月</w:t>
      </w:r>
      <w:r>
        <w:rPr>
          <w:rFonts w:ascii="仿宋" w:hAnsi="仿宋" w:eastAsia="仿宋" w:cs="仿宋"/>
          <w:iCs/>
          <w:color w:val="000000"/>
          <w:kern w:val="0"/>
          <w:sz w:val="28"/>
          <w:szCs w:val="28"/>
        </w:rPr>
        <w:t>01</w:t>
      </w:r>
      <w:r>
        <w:rPr>
          <w:rFonts w:hint="eastAsia" w:ascii="仿宋" w:hAnsi="仿宋" w:eastAsia="仿宋" w:cs="仿宋"/>
          <w:iCs/>
          <w:color w:val="000000"/>
          <w:kern w:val="0"/>
          <w:sz w:val="28"/>
          <w:szCs w:val="28"/>
        </w:rPr>
        <w:t>日至2</w:t>
      </w:r>
      <w:r>
        <w:rPr>
          <w:rFonts w:ascii="仿宋" w:hAnsi="仿宋" w:eastAsia="仿宋" w:cs="仿宋"/>
          <w:iCs/>
          <w:color w:val="000000"/>
          <w:kern w:val="0"/>
          <w:sz w:val="28"/>
          <w:szCs w:val="28"/>
        </w:rPr>
        <w:t>068</w:t>
      </w:r>
      <w:r>
        <w:rPr>
          <w:rFonts w:hint="eastAsia" w:ascii="仿宋" w:hAnsi="仿宋" w:eastAsia="仿宋" w:cs="仿宋"/>
          <w:iCs/>
          <w:color w:val="000000"/>
          <w:kern w:val="0"/>
          <w:sz w:val="28"/>
          <w:szCs w:val="28"/>
        </w:rPr>
        <w:t>年0</w:t>
      </w:r>
      <w:r>
        <w:rPr>
          <w:rFonts w:ascii="仿宋" w:hAnsi="仿宋" w:eastAsia="仿宋" w:cs="仿宋"/>
          <w:iCs/>
          <w:color w:val="000000"/>
          <w:kern w:val="0"/>
          <w:sz w:val="28"/>
          <w:szCs w:val="28"/>
        </w:rPr>
        <w:t>6</w:t>
      </w:r>
      <w:r>
        <w:rPr>
          <w:rFonts w:hint="eastAsia" w:ascii="仿宋" w:hAnsi="仿宋" w:eastAsia="仿宋" w:cs="仿宋"/>
          <w:iCs/>
          <w:color w:val="000000"/>
          <w:kern w:val="0"/>
          <w:sz w:val="28"/>
          <w:szCs w:val="28"/>
        </w:rPr>
        <w:t>月2</w:t>
      </w:r>
      <w:r>
        <w:rPr>
          <w:rFonts w:ascii="仿宋" w:hAnsi="仿宋" w:eastAsia="仿宋" w:cs="仿宋"/>
          <w:iCs/>
          <w:color w:val="000000"/>
          <w:kern w:val="0"/>
          <w:sz w:val="28"/>
          <w:szCs w:val="28"/>
        </w:rPr>
        <w:t>1</w:t>
      </w:r>
      <w:r>
        <w:rPr>
          <w:rFonts w:hint="eastAsia" w:ascii="仿宋" w:hAnsi="仿宋" w:eastAsia="仿宋" w:cs="仿宋"/>
          <w:iCs/>
          <w:color w:val="000000"/>
          <w:kern w:val="0"/>
          <w:sz w:val="28"/>
          <w:szCs w:val="28"/>
        </w:rPr>
        <w:t>日。</w:t>
      </w:r>
    </w:p>
    <w:p>
      <w:pPr>
        <w:spacing w:line="480" w:lineRule="exact"/>
        <w:ind w:firstLine="570"/>
        <w:rPr>
          <w:rFonts w:ascii="仿宋" w:hAnsi="仿宋" w:eastAsia="仿宋" w:cs="仿宋"/>
          <w:sz w:val="28"/>
          <w:szCs w:val="28"/>
        </w:rPr>
      </w:pPr>
      <w:r>
        <w:rPr>
          <w:rFonts w:hint="eastAsia" w:ascii="仿宋" w:hAnsi="仿宋" w:eastAsia="仿宋" w:cs="仿宋"/>
          <w:sz w:val="28"/>
          <w:szCs w:val="28"/>
        </w:rPr>
        <w:t>（六）未来净收益的增长率</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通过测算，被评估企业进入正常经营期后，净利润的年增长率约为5%，本次评估以净利润的年增长率作为净收益的增长率进行测算。</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（七）全部股权价值的确定</w:t>
      </w:r>
    </w:p>
    <w:tbl>
      <w:tblPr>
        <w:tblStyle w:val="54"/>
        <w:tblW w:w="9537" w:type="dxa"/>
        <w:tblInd w:w="108" w:type="dxa"/>
        <w:tblLayout w:type="fixed"/>
        <w:tblCellMar>
          <w:top w:w="0" w:type="dxa"/>
          <w:left w:w="108" w:type="dxa"/>
          <w:bottom w:w="0" w:type="dxa"/>
          <w:right w:w="108" w:type="dxa"/>
        </w:tblCellMar>
      </w:tblPr>
      <w:tblGrid>
        <w:gridCol w:w="1418"/>
        <w:gridCol w:w="876"/>
        <w:gridCol w:w="877"/>
        <w:gridCol w:w="876"/>
        <w:gridCol w:w="877"/>
        <w:gridCol w:w="877"/>
        <w:gridCol w:w="876"/>
        <w:gridCol w:w="877"/>
        <w:gridCol w:w="877"/>
        <w:gridCol w:w="1106"/>
      </w:tblGrid>
      <w:tr>
        <w:tblPrEx>
          <w:tblCellMar>
            <w:top w:w="0" w:type="dxa"/>
            <w:left w:w="108" w:type="dxa"/>
            <w:bottom w:w="0" w:type="dxa"/>
            <w:right w:w="108" w:type="dxa"/>
          </w:tblCellMar>
        </w:tblPrEx>
        <w:trPr>
          <w:trHeight w:val="285" w:hRule="atLeast"/>
        </w:trPr>
        <w:tc>
          <w:tcPr>
            <w:tcW w:w="9537" w:type="dxa"/>
            <w:gridSpan w:val="10"/>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sz w:val="28"/>
                <w:szCs w:val="28"/>
              </w:rPr>
              <w:t>全部股权价值</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仿宋" w:hAnsi="仿宋" w:eastAsia="仿宋" w:cs="宋体"/>
                <w:color w:val="000000"/>
                <w:kern w:val="0"/>
                <w:sz w:val="16"/>
                <w:szCs w:val="16"/>
              </w:rPr>
            </w:pPr>
            <w:r>
              <w:rPr>
                <w:rFonts w:hint="eastAsia" w:ascii="仿宋" w:hAnsi="仿宋" w:eastAsia="仿宋" w:cs="仿宋"/>
                <w:sz w:val="21"/>
                <w:szCs w:val="21"/>
              </w:rPr>
              <w:t>金额单位：万元</w:t>
            </w:r>
          </w:p>
        </w:tc>
      </w:tr>
      <w:tr>
        <w:tblPrEx>
          <w:tblCellMar>
            <w:top w:w="0" w:type="dxa"/>
            <w:left w:w="108" w:type="dxa"/>
            <w:bottom w:w="0" w:type="dxa"/>
            <w:right w:w="108" w:type="dxa"/>
          </w:tblCellMar>
        </w:tblPrEx>
        <w:trPr>
          <w:trHeight w:val="392" w:hRule="atLeast"/>
        </w:trPr>
        <w:tc>
          <w:tcPr>
            <w:tcW w:w="141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项目</w:t>
            </w:r>
          </w:p>
        </w:tc>
        <w:tc>
          <w:tcPr>
            <w:tcW w:w="8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2020年</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2021年</w:t>
            </w:r>
          </w:p>
        </w:tc>
        <w:tc>
          <w:tcPr>
            <w:tcW w:w="8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2022年</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2023年</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2024年</w:t>
            </w:r>
          </w:p>
        </w:tc>
        <w:tc>
          <w:tcPr>
            <w:tcW w:w="8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2025年</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2026年</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2027年</w:t>
            </w:r>
          </w:p>
        </w:tc>
        <w:tc>
          <w:tcPr>
            <w:tcW w:w="11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2028-2068</w:t>
            </w:r>
          </w:p>
        </w:tc>
      </w:tr>
      <w:tr>
        <w:tblPrEx>
          <w:tblCellMar>
            <w:top w:w="0" w:type="dxa"/>
            <w:left w:w="108" w:type="dxa"/>
            <w:bottom w:w="0" w:type="dxa"/>
            <w:right w:w="108" w:type="dxa"/>
          </w:tblCellMar>
        </w:tblPrEx>
        <w:trPr>
          <w:trHeight w:val="432"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权益现金流量</w:t>
            </w:r>
          </w:p>
        </w:tc>
        <w:tc>
          <w:tcPr>
            <w:tcW w:w="8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-1200</w:t>
            </w:r>
          </w:p>
        </w:tc>
        <w:tc>
          <w:tcPr>
            <w:tcW w:w="8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-1200</w:t>
            </w:r>
          </w:p>
        </w:tc>
        <w:tc>
          <w:tcPr>
            <w:tcW w:w="8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-2200</w:t>
            </w:r>
          </w:p>
        </w:tc>
        <w:tc>
          <w:tcPr>
            <w:tcW w:w="8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-1806.4</w:t>
            </w:r>
          </w:p>
        </w:tc>
        <w:tc>
          <w:tcPr>
            <w:tcW w:w="8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-1768.9</w:t>
            </w:r>
          </w:p>
        </w:tc>
        <w:tc>
          <w:tcPr>
            <w:tcW w:w="8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-952.51</w:t>
            </w:r>
          </w:p>
        </w:tc>
        <w:tc>
          <w:tcPr>
            <w:tcW w:w="8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400.97</w:t>
            </w:r>
          </w:p>
        </w:tc>
        <w:tc>
          <w:tcPr>
            <w:tcW w:w="8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488.94</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16628.3</w:t>
            </w:r>
          </w:p>
        </w:tc>
      </w:tr>
      <w:tr>
        <w:tblPrEx>
          <w:tblCellMar>
            <w:top w:w="0" w:type="dxa"/>
            <w:left w:w="108" w:type="dxa"/>
            <w:bottom w:w="0" w:type="dxa"/>
            <w:right w:w="108" w:type="dxa"/>
          </w:tblCellMar>
        </w:tblPrEx>
        <w:trPr>
          <w:trHeight w:val="447" w:hRule="atLeast"/>
        </w:trPr>
        <w:tc>
          <w:tcPr>
            <w:tcW w:w="141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折现</w:t>
            </w:r>
          </w:p>
        </w:tc>
        <w:tc>
          <w:tcPr>
            <w:tcW w:w="8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-1121.5</w:t>
            </w:r>
          </w:p>
        </w:tc>
        <w:tc>
          <w:tcPr>
            <w:tcW w:w="8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-1048.1</w:t>
            </w:r>
          </w:p>
        </w:tc>
        <w:tc>
          <w:tcPr>
            <w:tcW w:w="8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-1795.9</w:t>
            </w:r>
          </w:p>
        </w:tc>
        <w:tc>
          <w:tcPr>
            <w:tcW w:w="8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-1378.1</w:t>
            </w:r>
          </w:p>
        </w:tc>
        <w:tc>
          <w:tcPr>
            <w:tcW w:w="8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-1261.2</w:t>
            </w:r>
          </w:p>
        </w:tc>
        <w:tc>
          <w:tcPr>
            <w:tcW w:w="8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-634.7</w:t>
            </w:r>
          </w:p>
        </w:tc>
        <w:tc>
          <w:tcPr>
            <w:tcW w:w="8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249.7</w:t>
            </w:r>
          </w:p>
        </w:tc>
        <w:tc>
          <w:tcPr>
            <w:tcW w:w="8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284.57</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9044.69</w:t>
            </w:r>
          </w:p>
        </w:tc>
      </w:tr>
      <w:tr>
        <w:tblPrEx>
          <w:tblCellMar>
            <w:top w:w="0" w:type="dxa"/>
            <w:left w:w="108" w:type="dxa"/>
            <w:bottom w:w="0" w:type="dxa"/>
            <w:right w:w="108" w:type="dxa"/>
          </w:tblCellMar>
        </w:tblPrEx>
        <w:trPr>
          <w:trHeight w:val="401" w:hRule="atLeast"/>
        </w:trPr>
        <w:tc>
          <w:tcPr>
            <w:tcW w:w="141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8119" w:type="dxa"/>
            <w:gridSpan w:val="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2339</w:t>
            </w:r>
          </w:p>
        </w:tc>
      </w:tr>
    </w:tbl>
    <w:p>
      <w:pPr>
        <w:spacing w:line="480" w:lineRule="exact"/>
        <w:rPr>
          <w:rFonts w:ascii="仿宋" w:hAnsi="仿宋" w:eastAsia="仿宋" w:cs="仿宋"/>
          <w:sz w:val="28"/>
          <w:szCs w:val="28"/>
        </w:rPr>
      </w:pPr>
    </w:p>
    <w:p>
      <w:pPr>
        <w:pStyle w:val="3"/>
        <w:numPr>
          <w:ilvl w:val="0"/>
          <w:numId w:val="9"/>
        </w:numPr>
        <w:adjustRightInd/>
        <w:spacing w:before="0" w:after="0" w:line="360" w:lineRule="auto"/>
        <w:ind w:left="0" w:firstLine="560" w:firstLineChars="200"/>
        <w:contextualSpacing/>
        <w:rPr>
          <w:rFonts w:ascii="仿宋" w:hAnsi="仿宋" w:eastAsia="仿宋" w:cs="仿宋"/>
          <w:sz w:val="28"/>
          <w:szCs w:val="28"/>
        </w:rPr>
      </w:pPr>
      <w:bookmarkStart w:id="161" w:name="_Toc485741058"/>
      <w:bookmarkStart w:id="162" w:name="_Toc468392955"/>
      <w:bookmarkStart w:id="163" w:name="_Toc18597"/>
      <w:r>
        <w:rPr>
          <w:rFonts w:hint="eastAsia" w:ascii="仿宋" w:hAnsi="仿宋" w:eastAsia="仿宋" w:cs="仿宋"/>
          <w:sz w:val="28"/>
          <w:szCs w:val="28"/>
        </w:rPr>
        <w:t>评估结论</w:t>
      </w:r>
      <w:bookmarkEnd w:id="161"/>
      <w:bookmarkEnd w:id="162"/>
      <w:bookmarkEnd w:id="163"/>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通过实施必要的评估程序，经过分析和估算，使用收益法评估出的江苏焦点粮食储运有限公司的股东全部权益于2020年06月30日的持续经营价值为人民币233</w:t>
      </w:r>
      <w:r>
        <w:rPr>
          <w:rFonts w:ascii="仿宋" w:hAnsi="仿宋" w:eastAsia="仿宋" w:cs="仿宋"/>
          <w:sz w:val="28"/>
          <w:szCs w:val="28"/>
        </w:rPr>
        <w:t>9</w:t>
      </w:r>
      <w:r>
        <w:rPr>
          <w:rFonts w:hint="eastAsia" w:ascii="仿宋" w:hAnsi="仿宋" w:eastAsia="仿宋" w:cs="仿宋"/>
          <w:sz w:val="28"/>
          <w:szCs w:val="28"/>
        </w:rPr>
        <w:t>万元。</w:t>
      </w:r>
    </w:p>
    <w:p>
      <w:pPr>
        <w:spacing w:line="360" w:lineRule="auto"/>
        <w:ind w:firstLine="560" w:firstLineChars="200"/>
        <w:contextualSpacing/>
        <w:rPr>
          <w:rFonts w:ascii="仿宋" w:hAnsi="仿宋" w:eastAsia="仿宋" w:cs="仿宋"/>
          <w:sz w:val="28"/>
          <w:szCs w:val="28"/>
        </w:rPr>
      </w:pPr>
    </w:p>
    <w:p>
      <w:pPr>
        <w:tabs>
          <w:tab w:val="left" w:pos="3360"/>
        </w:tabs>
        <w:spacing w:after="156" w:afterLines="50" w:line="300" w:lineRule="auto"/>
        <w:ind w:firstLine="560" w:firstLineChars="200"/>
        <w:contextualSpacing/>
        <w:rPr>
          <w:rFonts w:ascii="仿宋" w:hAnsi="仿宋" w:eastAsia="仿宋" w:cs="仿宋"/>
          <w:sz w:val="28"/>
          <w:szCs w:val="28"/>
        </w:rPr>
        <w:sectPr>
          <w:footerReference r:id="rId7" w:type="default"/>
          <w:pgSz w:w="11907" w:h="16840"/>
          <w:pgMar w:top="1440" w:right="1440" w:bottom="1440" w:left="1361" w:header="1134" w:footer="851" w:gutter="113"/>
          <w:cols w:space="720" w:num="1"/>
          <w:docGrid w:type="linesAndChars" w:linePitch="312" w:charSpace="0"/>
        </w:sectPr>
      </w:pPr>
    </w:p>
    <w:bookmarkEnd w:id="110"/>
    <w:bookmarkEnd w:id="111"/>
    <w:bookmarkEnd w:id="112"/>
    <w:p>
      <w:pPr>
        <w:pStyle w:val="2"/>
        <w:pageBreakBefore/>
        <w:numPr>
          <w:ilvl w:val="0"/>
          <w:numId w:val="5"/>
        </w:numPr>
        <w:tabs>
          <w:tab w:val="left" w:pos="1701"/>
        </w:tabs>
        <w:spacing w:before="312" w:beforeLines="100" w:after="312" w:afterLines="100" w:line="360" w:lineRule="auto"/>
        <w:ind w:left="0" w:firstLine="0"/>
        <w:jc w:val="center"/>
        <w:rPr>
          <w:rFonts w:ascii="仿宋" w:hAnsi="仿宋" w:eastAsia="仿宋" w:cs="仿宋"/>
          <w:b w:val="0"/>
          <w:sz w:val="30"/>
          <w:szCs w:val="30"/>
        </w:rPr>
      </w:pPr>
      <w:bookmarkStart w:id="164" w:name="_Toc22838"/>
      <w:bookmarkStart w:id="165" w:name="_Toc485741059"/>
      <w:r>
        <w:rPr>
          <w:rFonts w:hint="eastAsia" w:ascii="仿宋" w:hAnsi="仿宋" w:eastAsia="仿宋" w:cs="仿宋"/>
          <w:bCs/>
          <w:szCs w:val="32"/>
        </w:rPr>
        <w:t>评估结论及其分析</w:t>
      </w:r>
      <w:bookmarkEnd w:id="164"/>
      <w:bookmarkEnd w:id="165"/>
    </w:p>
    <w:p>
      <w:pPr>
        <w:pageBreakBefore w:val="0"/>
        <w:widowControl w:val="0"/>
        <w:kinsoku/>
        <w:wordWrap/>
        <w:overflowPunct/>
        <w:topLinePunct w:val="0"/>
        <w:autoSpaceDE/>
        <w:autoSpaceDN/>
        <w:bidi w:val="0"/>
        <w:adjustRightInd/>
        <w:spacing w:line="480" w:lineRule="exact"/>
        <w:ind w:firstLine="539"/>
        <w:contextualSpacing/>
        <w:textAlignment w:val="auto"/>
        <w:rPr>
          <w:rFonts w:ascii="仿宋" w:hAnsi="仿宋" w:eastAsia="仿宋" w:cs="仿宋"/>
          <w:snapToGrid w:val="0"/>
          <w:color w:val="000000"/>
          <w:sz w:val="28"/>
        </w:rPr>
      </w:pPr>
      <w:r>
        <w:rPr>
          <w:rFonts w:hint="eastAsia" w:ascii="仿宋" w:hAnsi="仿宋" w:eastAsia="仿宋" w:cs="仿宋"/>
          <w:snapToGrid w:val="0"/>
          <w:color w:val="000000"/>
          <w:sz w:val="28"/>
        </w:rPr>
        <w:t>本次评估分别采用资产基础法和收益法两种方法对江苏焦点粮食储运有限公司所有者权益价值进行了评估。</w:t>
      </w:r>
    </w:p>
    <w:p>
      <w:pPr>
        <w:pStyle w:val="3"/>
        <w:pageBreakBefore w:val="0"/>
        <w:widowControl w:val="0"/>
        <w:numPr>
          <w:ilvl w:val="1"/>
          <w:numId w:val="0"/>
        </w:numPr>
        <w:kinsoku/>
        <w:wordWrap/>
        <w:overflowPunct/>
        <w:topLinePunct w:val="0"/>
        <w:autoSpaceDE/>
        <w:autoSpaceDN/>
        <w:bidi w:val="0"/>
        <w:adjustRightInd/>
        <w:spacing w:before="0" w:after="0" w:line="480" w:lineRule="exact"/>
        <w:ind w:firstLine="560" w:firstLineChars="200"/>
        <w:contextualSpacing/>
        <w:textAlignment w:val="auto"/>
        <w:rPr>
          <w:rFonts w:ascii="仿宋" w:hAnsi="仿宋" w:eastAsia="仿宋" w:cs="仿宋"/>
          <w:color w:val="000000"/>
          <w:sz w:val="28"/>
          <w:szCs w:val="28"/>
        </w:rPr>
      </w:pPr>
      <w:bookmarkStart w:id="166" w:name="_Toc4458"/>
      <w:bookmarkStart w:id="167" w:name="_Toc485741060"/>
      <w:r>
        <w:rPr>
          <w:rFonts w:hint="eastAsia" w:ascii="仿宋" w:hAnsi="仿宋" w:eastAsia="仿宋" w:cs="仿宋"/>
          <w:color w:val="000000"/>
          <w:sz w:val="28"/>
          <w:szCs w:val="28"/>
        </w:rPr>
        <w:t>1.资产基础法评估结果</w:t>
      </w:r>
      <w:bookmarkEnd w:id="166"/>
      <w:bookmarkEnd w:id="167"/>
    </w:p>
    <w:p>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 w:hAnsi="仿宋" w:eastAsia="仿宋" w:cs="仿宋"/>
          <w:color w:val="0000FF"/>
          <w:sz w:val="28"/>
          <w:szCs w:val="28"/>
        </w:rPr>
      </w:pPr>
      <w:r>
        <w:rPr>
          <w:rFonts w:hint="eastAsia" w:ascii="仿宋" w:hAnsi="仿宋" w:eastAsia="仿宋" w:cs="仿宋"/>
          <w:sz w:val="28"/>
          <w:szCs w:val="28"/>
        </w:rPr>
        <w:t>江苏焦点粮食储运有限公司</w:t>
      </w:r>
      <w:r>
        <w:rPr>
          <w:rFonts w:hint="eastAsia" w:ascii="仿宋" w:hAnsi="仿宋" w:eastAsia="仿宋" w:cs="仿宋"/>
          <w:w w:val="95"/>
          <w:sz w:val="28"/>
          <w:szCs w:val="28"/>
        </w:rPr>
        <w:t>总</w:t>
      </w:r>
      <w:r>
        <w:rPr>
          <w:rFonts w:hint="eastAsia" w:ascii="仿宋" w:hAnsi="仿宋" w:eastAsia="仿宋" w:cs="仿宋"/>
          <w:kern w:val="0"/>
          <w:sz w:val="28"/>
          <w:szCs w:val="28"/>
        </w:rPr>
        <w:t>资产账面价值为</w:t>
      </w:r>
      <w:r>
        <w:rPr>
          <w:rFonts w:ascii="仿宋" w:hAnsi="仿宋" w:eastAsia="仿宋" w:cs="仿宋"/>
          <w:kern w:val="0"/>
          <w:sz w:val="28"/>
          <w:szCs w:val="28"/>
        </w:rPr>
        <w:t>1286.04</w:t>
      </w:r>
      <w:r>
        <w:rPr>
          <w:rFonts w:hint="eastAsia" w:ascii="仿宋" w:hAnsi="仿宋" w:eastAsia="仿宋" w:cs="仿宋"/>
          <w:kern w:val="0"/>
          <w:sz w:val="28"/>
          <w:szCs w:val="28"/>
        </w:rPr>
        <w:t>万</w:t>
      </w:r>
      <w:r>
        <w:rPr>
          <w:rFonts w:hint="eastAsia" w:ascii="仿宋" w:hAnsi="仿宋" w:eastAsia="仿宋" w:cs="仿宋"/>
          <w:sz w:val="28"/>
          <w:szCs w:val="28"/>
        </w:rPr>
        <w:t>元，</w:t>
      </w:r>
      <w:r>
        <w:rPr>
          <w:rFonts w:hint="eastAsia" w:ascii="仿宋" w:hAnsi="仿宋" w:eastAsia="仿宋" w:cs="仿宋"/>
          <w:w w:val="95"/>
          <w:sz w:val="28"/>
          <w:szCs w:val="28"/>
        </w:rPr>
        <w:t>总</w:t>
      </w:r>
      <w:r>
        <w:rPr>
          <w:rFonts w:hint="eastAsia" w:ascii="仿宋" w:hAnsi="仿宋" w:eastAsia="仿宋" w:cs="仿宋"/>
          <w:kern w:val="0"/>
          <w:sz w:val="28"/>
          <w:szCs w:val="28"/>
        </w:rPr>
        <w:t>资产评估价值为</w:t>
      </w:r>
      <w:r>
        <w:rPr>
          <w:rFonts w:ascii="仿宋" w:hAnsi="仿宋" w:eastAsia="仿宋" w:cs="仿宋"/>
          <w:kern w:val="0"/>
          <w:sz w:val="28"/>
          <w:szCs w:val="28"/>
        </w:rPr>
        <w:t>1524.55</w:t>
      </w:r>
      <w:r>
        <w:rPr>
          <w:rFonts w:hint="eastAsia" w:ascii="仿宋" w:hAnsi="仿宋" w:eastAsia="仿宋" w:cs="仿宋"/>
          <w:kern w:val="0"/>
          <w:sz w:val="28"/>
          <w:szCs w:val="28"/>
        </w:rPr>
        <w:t>万元，增值额为238.51万</w:t>
      </w:r>
      <w:r>
        <w:rPr>
          <w:rFonts w:hint="eastAsia" w:ascii="仿宋" w:hAnsi="仿宋" w:eastAsia="仿宋" w:cs="仿宋"/>
          <w:sz w:val="28"/>
          <w:szCs w:val="28"/>
        </w:rPr>
        <w:t>元，增值率为</w:t>
      </w:r>
      <w:r>
        <w:rPr>
          <w:rFonts w:ascii="仿宋" w:hAnsi="仿宋" w:eastAsia="仿宋" w:cs="仿宋"/>
          <w:kern w:val="0"/>
          <w:sz w:val="28"/>
          <w:szCs w:val="28"/>
        </w:rPr>
        <w:t>18.55</w:t>
      </w:r>
      <w:r>
        <w:rPr>
          <w:rFonts w:hint="eastAsia" w:ascii="仿宋" w:hAnsi="仿宋" w:eastAsia="仿宋" w:cs="仿宋"/>
          <w:kern w:val="0"/>
          <w:sz w:val="28"/>
          <w:szCs w:val="28"/>
        </w:rPr>
        <w:t>%；</w:t>
      </w:r>
      <w:r>
        <w:rPr>
          <w:rFonts w:hint="eastAsia" w:ascii="仿宋" w:hAnsi="仿宋" w:eastAsia="仿宋" w:cs="仿宋"/>
          <w:sz w:val="28"/>
          <w:szCs w:val="28"/>
        </w:rPr>
        <w:t>总负债</w:t>
      </w:r>
      <w:r>
        <w:rPr>
          <w:rFonts w:hint="eastAsia" w:ascii="仿宋" w:hAnsi="仿宋" w:eastAsia="仿宋" w:cs="仿宋"/>
          <w:kern w:val="0"/>
          <w:sz w:val="28"/>
          <w:szCs w:val="28"/>
        </w:rPr>
        <w:t>账面价值为1.45万元，</w:t>
      </w:r>
      <w:r>
        <w:rPr>
          <w:rFonts w:hint="eastAsia" w:ascii="仿宋" w:hAnsi="仿宋" w:eastAsia="仿宋" w:cs="仿宋"/>
          <w:sz w:val="28"/>
          <w:szCs w:val="28"/>
        </w:rPr>
        <w:t>总负债</w:t>
      </w:r>
      <w:r>
        <w:rPr>
          <w:rFonts w:hint="eastAsia" w:ascii="仿宋" w:hAnsi="仿宋" w:eastAsia="仿宋" w:cs="仿宋"/>
          <w:kern w:val="0"/>
          <w:sz w:val="28"/>
          <w:szCs w:val="28"/>
        </w:rPr>
        <w:t>评估价值为1.45万元，增值额0.00万元，增值率0.00%；所有者权益资产账面价值为</w:t>
      </w:r>
      <w:r>
        <w:rPr>
          <w:rFonts w:ascii="仿宋" w:hAnsi="仿宋" w:eastAsia="仿宋" w:cs="仿宋"/>
          <w:kern w:val="0"/>
          <w:sz w:val="28"/>
          <w:szCs w:val="28"/>
        </w:rPr>
        <w:t>1284.59</w:t>
      </w:r>
      <w:r>
        <w:rPr>
          <w:rFonts w:hint="eastAsia" w:ascii="仿宋" w:hAnsi="仿宋" w:eastAsia="仿宋" w:cs="仿宋"/>
          <w:kern w:val="0"/>
          <w:sz w:val="28"/>
          <w:szCs w:val="28"/>
        </w:rPr>
        <w:t>万</w:t>
      </w:r>
      <w:r>
        <w:rPr>
          <w:rFonts w:hint="eastAsia" w:ascii="仿宋" w:hAnsi="仿宋" w:eastAsia="仿宋" w:cs="仿宋"/>
          <w:sz w:val="28"/>
          <w:szCs w:val="28"/>
        </w:rPr>
        <w:t>元，</w:t>
      </w:r>
      <w:r>
        <w:rPr>
          <w:rFonts w:hint="eastAsia" w:ascii="仿宋" w:hAnsi="仿宋" w:eastAsia="仿宋" w:cs="仿宋"/>
          <w:kern w:val="0"/>
          <w:sz w:val="28"/>
          <w:szCs w:val="28"/>
        </w:rPr>
        <w:t>所有者权益评估价值为</w:t>
      </w:r>
      <w:r>
        <w:rPr>
          <w:rFonts w:ascii="仿宋" w:hAnsi="仿宋" w:eastAsia="仿宋" w:cs="仿宋"/>
          <w:kern w:val="0"/>
          <w:sz w:val="28"/>
          <w:szCs w:val="28"/>
        </w:rPr>
        <w:t>1523.10</w:t>
      </w:r>
      <w:r>
        <w:rPr>
          <w:rFonts w:hint="eastAsia" w:ascii="仿宋" w:hAnsi="仿宋" w:eastAsia="仿宋" w:cs="仿宋"/>
          <w:kern w:val="0"/>
          <w:sz w:val="28"/>
          <w:szCs w:val="28"/>
        </w:rPr>
        <w:t>万元</w:t>
      </w:r>
      <w:r>
        <w:rPr>
          <w:rFonts w:hint="eastAsia" w:ascii="仿宋" w:hAnsi="仿宋" w:eastAsia="仿宋" w:cs="仿宋"/>
          <w:color w:val="0000FF"/>
          <w:kern w:val="0"/>
          <w:sz w:val="28"/>
          <w:szCs w:val="28"/>
        </w:rPr>
        <w:t>，</w:t>
      </w:r>
      <w:r>
        <w:rPr>
          <w:rFonts w:hint="eastAsia" w:ascii="仿宋" w:hAnsi="仿宋" w:eastAsia="仿宋" w:cs="仿宋"/>
          <w:kern w:val="0"/>
          <w:sz w:val="28"/>
          <w:szCs w:val="28"/>
        </w:rPr>
        <w:t>增值额为238.51万</w:t>
      </w:r>
      <w:r>
        <w:rPr>
          <w:rFonts w:hint="eastAsia" w:ascii="仿宋" w:hAnsi="仿宋" w:eastAsia="仿宋" w:cs="仿宋"/>
          <w:sz w:val="28"/>
          <w:szCs w:val="28"/>
        </w:rPr>
        <w:t>元，增值率为</w:t>
      </w:r>
      <w:r>
        <w:rPr>
          <w:rFonts w:ascii="仿宋" w:hAnsi="仿宋" w:eastAsia="仿宋" w:cs="仿宋"/>
          <w:kern w:val="0"/>
          <w:sz w:val="28"/>
          <w:szCs w:val="28"/>
        </w:rPr>
        <w:t>18.57</w:t>
      </w:r>
      <w:r>
        <w:rPr>
          <w:rFonts w:hint="eastAsia" w:ascii="仿宋" w:hAnsi="仿宋" w:eastAsia="仿宋" w:cs="仿宋"/>
          <w:kern w:val="0"/>
          <w:sz w:val="28"/>
          <w:szCs w:val="28"/>
        </w:rPr>
        <w:t>%。</w:t>
      </w:r>
    </w:p>
    <w:p>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评估结果详见下列评估结果汇总表：</w:t>
      </w:r>
    </w:p>
    <w:p>
      <w:pPr>
        <w:adjustRightInd w:val="0"/>
        <w:snapToGrid w:val="0"/>
        <w:spacing w:line="360" w:lineRule="auto"/>
        <w:jc w:val="center"/>
        <w:rPr>
          <w:rFonts w:ascii="仿宋" w:hAnsi="仿宋" w:eastAsia="仿宋" w:cs="仿宋"/>
          <w:b/>
          <w:sz w:val="28"/>
        </w:rPr>
      </w:pPr>
      <w:r>
        <w:rPr>
          <w:rFonts w:hint="eastAsia" w:ascii="仿宋" w:hAnsi="仿宋" w:eastAsia="仿宋" w:cs="仿宋"/>
          <w:b/>
          <w:sz w:val="28"/>
        </w:rPr>
        <w:t>资产评估结果汇总表</w:t>
      </w:r>
    </w:p>
    <w:p>
      <w:pPr>
        <w:adjustRightInd w:val="0"/>
        <w:snapToGrid w:val="0"/>
        <w:spacing w:line="360" w:lineRule="auto"/>
        <w:jc w:val="center"/>
        <w:rPr>
          <w:rFonts w:ascii="仿宋" w:hAnsi="仿宋" w:eastAsia="仿宋" w:cs="仿宋"/>
          <w:bCs/>
        </w:rPr>
      </w:pPr>
      <w:r>
        <w:rPr>
          <w:rFonts w:hint="eastAsia" w:ascii="仿宋" w:hAnsi="仿宋" w:eastAsia="仿宋" w:cs="仿宋"/>
          <w:bCs/>
        </w:rPr>
        <w:t>评估基准日：2020年06月30日</w:t>
      </w:r>
    </w:p>
    <w:tbl>
      <w:tblPr>
        <w:tblStyle w:val="54"/>
        <w:tblW w:w="9073" w:type="dxa"/>
        <w:tblInd w:w="0" w:type="dxa"/>
        <w:tblLayout w:type="fixed"/>
        <w:tblCellMar>
          <w:top w:w="0" w:type="dxa"/>
          <w:left w:w="0" w:type="dxa"/>
          <w:bottom w:w="0" w:type="dxa"/>
          <w:right w:w="0" w:type="dxa"/>
        </w:tblCellMar>
      </w:tblPr>
      <w:tblGrid>
        <w:gridCol w:w="357"/>
        <w:gridCol w:w="3483"/>
        <w:gridCol w:w="1378"/>
        <w:gridCol w:w="15"/>
        <w:gridCol w:w="1170"/>
        <w:gridCol w:w="1275"/>
        <w:gridCol w:w="1395"/>
      </w:tblGrid>
      <w:tr>
        <w:tblPrEx>
          <w:tblCellMar>
            <w:top w:w="0" w:type="dxa"/>
            <w:left w:w="0" w:type="dxa"/>
            <w:bottom w:w="0" w:type="dxa"/>
            <w:right w:w="0" w:type="dxa"/>
          </w:tblCellMar>
        </w:tblPrEx>
        <w:trPr>
          <w:trHeight w:val="285" w:hRule="atLeast"/>
        </w:trPr>
        <w:tc>
          <w:tcPr>
            <w:tcW w:w="5233" w:type="dxa"/>
            <w:gridSpan w:val="4"/>
            <w:tcBorders>
              <w:top w:val="nil"/>
              <w:left w:val="nil"/>
              <w:bottom w:val="nil"/>
              <w:right w:val="nil"/>
            </w:tcBorders>
            <w:shd w:val="clear" w:color="auto" w:fill="auto"/>
            <w:noWrap/>
            <w:tcMar>
              <w:top w:w="15" w:type="dxa"/>
              <w:left w:w="15" w:type="dxa"/>
              <w:right w:w="15" w:type="dxa"/>
            </w:tcMar>
            <w:vAlign w:val="center"/>
          </w:tcPr>
          <w:p>
            <w:pPr>
              <w:rPr>
                <w:rFonts w:ascii="仿宋" w:hAnsi="仿宋" w:eastAsia="仿宋" w:cs="仿宋"/>
                <w:szCs w:val="21"/>
              </w:rPr>
            </w:pPr>
            <w:r>
              <w:rPr>
                <w:rFonts w:hint="eastAsia" w:ascii="仿宋" w:hAnsi="仿宋" w:eastAsia="仿宋" w:cs="仿宋"/>
                <w:szCs w:val="21"/>
              </w:rPr>
              <w:t>被评估企业名称：江苏焦点粮食储运有限公司</w:t>
            </w:r>
          </w:p>
        </w:tc>
        <w:tc>
          <w:tcPr>
            <w:tcW w:w="1170" w:type="dxa"/>
            <w:tcBorders>
              <w:top w:val="nil"/>
              <w:left w:val="nil"/>
              <w:bottom w:val="nil"/>
              <w:right w:val="nil"/>
            </w:tcBorders>
            <w:shd w:val="clear" w:color="auto" w:fill="auto"/>
            <w:noWrap/>
            <w:tcMar>
              <w:top w:w="15" w:type="dxa"/>
              <w:left w:w="15" w:type="dxa"/>
              <w:right w:w="15" w:type="dxa"/>
            </w:tcMar>
            <w:vAlign w:val="center"/>
          </w:tcPr>
          <w:p>
            <w:pPr>
              <w:rPr>
                <w:rFonts w:ascii="仿宋" w:hAnsi="仿宋" w:eastAsia="仿宋" w:cs="仿宋"/>
                <w:szCs w:val="21"/>
              </w:rPr>
            </w:pPr>
          </w:p>
        </w:tc>
        <w:tc>
          <w:tcPr>
            <w:tcW w:w="2670" w:type="dxa"/>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仿宋" w:hAnsi="仿宋" w:eastAsia="仿宋" w:cs="仿宋"/>
                <w:szCs w:val="21"/>
              </w:rPr>
            </w:pPr>
            <w:r>
              <w:rPr>
                <w:rFonts w:hint="eastAsia" w:ascii="仿宋" w:hAnsi="仿宋" w:eastAsia="仿宋" w:cs="仿宋"/>
                <w:szCs w:val="21"/>
              </w:rPr>
              <w:t>金额单位：人民币万元</w:t>
            </w:r>
          </w:p>
        </w:tc>
      </w:tr>
      <w:tr>
        <w:tblPrEx>
          <w:tblCellMar>
            <w:top w:w="0" w:type="dxa"/>
            <w:left w:w="0" w:type="dxa"/>
            <w:bottom w:w="0" w:type="dxa"/>
            <w:right w:w="0" w:type="dxa"/>
          </w:tblCellMar>
        </w:tblPrEx>
        <w:trPr>
          <w:trHeight w:val="285" w:hRule="atLeast"/>
        </w:trPr>
        <w:tc>
          <w:tcPr>
            <w:tcW w:w="3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项</w:t>
            </w:r>
            <w:r>
              <w:rPr>
                <w:rFonts w:ascii="仿宋" w:hAnsi="仿宋" w:eastAsia="仿宋" w:cs="仿宋"/>
                <w:szCs w:val="21"/>
              </w:rPr>
              <w:t xml:space="preserve">            </w:t>
            </w:r>
            <w:r>
              <w:rPr>
                <w:rFonts w:hint="eastAsia" w:ascii="仿宋" w:hAnsi="仿宋" w:eastAsia="仿宋" w:cs="仿宋"/>
                <w:szCs w:val="21"/>
              </w:rPr>
              <w:t>目</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账面价值</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评估价值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增减值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增值率％</w:t>
            </w:r>
          </w:p>
        </w:tc>
      </w:tr>
      <w:tr>
        <w:tblPrEx>
          <w:tblCellMar>
            <w:top w:w="0" w:type="dxa"/>
            <w:left w:w="0" w:type="dxa"/>
            <w:bottom w:w="0" w:type="dxa"/>
            <w:right w:w="0" w:type="dxa"/>
          </w:tblCellMar>
        </w:tblPrEx>
        <w:trPr>
          <w:trHeight w:val="300" w:hRule="atLeast"/>
        </w:trPr>
        <w:tc>
          <w:tcPr>
            <w:tcW w:w="3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Cs w:val="21"/>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A</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C=B-A</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D=C/A×100%</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1</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流动资产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118</w:t>
            </w:r>
            <w:r>
              <w:rPr>
                <w:rFonts w:hint="eastAsia" w:ascii="仿宋" w:hAnsi="仿宋" w:eastAsia="仿宋" w:cs="仿宋"/>
                <w:szCs w:val="21"/>
              </w:rPr>
              <w:t>.</w:t>
            </w:r>
            <w:r>
              <w:rPr>
                <w:rFonts w:ascii="仿宋" w:hAnsi="仿宋" w:eastAsia="仿宋" w:cs="仿宋"/>
                <w:szCs w:val="21"/>
              </w:rPr>
              <w:t xml:space="preserve">31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118</w:t>
            </w:r>
            <w:r>
              <w:rPr>
                <w:rFonts w:hint="eastAsia" w:ascii="仿宋" w:hAnsi="仿宋" w:eastAsia="仿宋" w:cs="仿宋"/>
                <w:szCs w:val="21"/>
              </w:rPr>
              <w:t>.</w:t>
            </w:r>
            <w:r>
              <w:rPr>
                <w:rFonts w:ascii="仿宋" w:hAnsi="仿宋" w:eastAsia="仿宋" w:cs="仿宋"/>
                <w:szCs w:val="21"/>
              </w:rPr>
              <w:t xml:space="preserve">31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28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2</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非流动资产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1,167.73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w:t>
            </w:r>
            <w:r>
              <w:rPr>
                <w:rFonts w:hint="eastAsia" w:ascii="仿宋" w:hAnsi="仿宋" w:eastAsia="仿宋" w:cs="仿宋"/>
                <w:szCs w:val="21"/>
              </w:rPr>
              <w:t>406</w:t>
            </w:r>
            <w:r>
              <w:rPr>
                <w:rFonts w:ascii="仿宋" w:hAnsi="仿宋" w:eastAsia="仿宋" w:cs="仿宋"/>
                <w:szCs w:val="21"/>
              </w:rPr>
              <w:t>.</w:t>
            </w:r>
            <w:r>
              <w:rPr>
                <w:rFonts w:hint="eastAsia" w:ascii="仿宋" w:hAnsi="仿宋" w:eastAsia="仿宋" w:cs="仿宋"/>
                <w:szCs w:val="21"/>
              </w:rPr>
              <w:t>24</w:t>
            </w:r>
            <w:r>
              <w:rPr>
                <w:rFonts w:ascii="仿宋" w:hAnsi="仿宋" w:eastAsia="仿宋" w:cs="仿宋"/>
                <w:szCs w:val="21"/>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w:t>
            </w:r>
            <w:r>
              <w:rPr>
                <w:rFonts w:hint="eastAsia" w:ascii="仿宋" w:hAnsi="仿宋" w:eastAsia="仿宋" w:cs="仿宋"/>
                <w:szCs w:val="21"/>
              </w:rPr>
              <w:t>238</w:t>
            </w:r>
            <w:r>
              <w:rPr>
                <w:rFonts w:ascii="仿宋" w:hAnsi="仿宋" w:eastAsia="仿宋" w:cs="仿宋"/>
                <w:szCs w:val="21"/>
              </w:rPr>
              <w:t>.</w:t>
            </w:r>
            <w:r>
              <w:rPr>
                <w:rFonts w:hint="eastAsia" w:ascii="仿宋" w:hAnsi="仿宋" w:eastAsia="仿宋" w:cs="仿宋"/>
                <w:szCs w:val="21"/>
              </w:rPr>
              <w:t>51</w:t>
            </w:r>
            <w:r>
              <w:rPr>
                <w:rFonts w:ascii="仿宋" w:hAnsi="仿宋" w:eastAsia="仿宋" w:cs="仿宋"/>
                <w:szCs w:val="21"/>
              </w:rPr>
              <w:t xml:space="preserve">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w:t>
            </w:r>
            <w:r>
              <w:rPr>
                <w:rFonts w:hint="eastAsia" w:ascii="仿宋" w:hAnsi="仿宋" w:eastAsia="仿宋" w:cs="仿宋"/>
                <w:szCs w:val="21"/>
              </w:rPr>
              <w:t>20</w:t>
            </w:r>
            <w:r>
              <w:rPr>
                <w:rFonts w:ascii="仿宋" w:hAnsi="仿宋" w:eastAsia="仿宋" w:cs="仿宋"/>
                <w:szCs w:val="21"/>
              </w:rPr>
              <w:t>.</w:t>
            </w:r>
            <w:r>
              <w:rPr>
                <w:rFonts w:hint="eastAsia" w:ascii="仿宋" w:hAnsi="仿宋" w:eastAsia="仿宋" w:cs="仿宋"/>
                <w:szCs w:val="21"/>
              </w:rPr>
              <w:t>43</w:t>
            </w:r>
            <w:r>
              <w:rPr>
                <w:rFonts w:ascii="仿宋" w:hAnsi="仿宋" w:eastAsia="仿宋" w:cs="仿宋"/>
                <w:szCs w:val="21"/>
              </w:rPr>
              <w:t xml:space="preserve">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3</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其中：可供出售金融资产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4</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持有至到期投资</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28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5</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长期应收款</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6</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长期股权投资</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7</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投资性房地产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8</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固定资产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9</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在建工程</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98.90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98.90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10</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工程物资</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11</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固定资产清理</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12</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生产性生物资产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13</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油气资产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0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14</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无形资产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1,068.83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w:t>
            </w:r>
            <w:r>
              <w:rPr>
                <w:rFonts w:hint="eastAsia" w:ascii="仿宋" w:hAnsi="仿宋" w:eastAsia="仿宋" w:cs="仿宋"/>
                <w:szCs w:val="21"/>
              </w:rPr>
              <w:t>307</w:t>
            </w:r>
            <w:r>
              <w:rPr>
                <w:rFonts w:ascii="仿宋" w:hAnsi="仿宋" w:eastAsia="仿宋" w:cs="仿宋"/>
                <w:szCs w:val="21"/>
              </w:rPr>
              <w:t>.</w:t>
            </w:r>
            <w:r>
              <w:rPr>
                <w:rFonts w:hint="eastAsia" w:ascii="仿宋" w:hAnsi="仿宋" w:eastAsia="仿宋" w:cs="仿宋"/>
                <w:szCs w:val="21"/>
              </w:rPr>
              <w:t>34</w:t>
            </w:r>
            <w:r>
              <w:rPr>
                <w:rFonts w:ascii="仿宋" w:hAnsi="仿宋" w:eastAsia="仿宋" w:cs="仿宋"/>
                <w:szCs w:val="21"/>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w:t>
            </w:r>
            <w:r>
              <w:rPr>
                <w:rFonts w:hint="eastAsia" w:ascii="仿宋" w:hAnsi="仿宋" w:eastAsia="仿宋" w:cs="仿宋"/>
                <w:szCs w:val="21"/>
              </w:rPr>
              <w:t>238</w:t>
            </w:r>
            <w:r>
              <w:rPr>
                <w:rFonts w:ascii="仿宋" w:hAnsi="仿宋" w:eastAsia="仿宋" w:cs="仿宋"/>
                <w:szCs w:val="21"/>
              </w:rPr>
              <w:t>.</w:t>
            </w:r>
            <w:r>
              <w:rPr>
                <w:rFonts w:hint="eastAsia" w:ascii="仿宋" w:hAnsi="仿宋" w:eastAsia="仿宋" w:cs="仿宋"/>
                <w:szCs w:val="21"/>
              </w:rPr>
              <w:t>51</w:t>
            </w:r>
            <w:r>
              <w:rPr>
                <w:rFonts w:ascii="仿宋" w:hAnsi="仿宋" w:eastAsia="仿宋" w:cs="仿宋"/>
                <w:szCs w:val="21"/>
              </w:rPr>
              <w:t xml:space="preserve">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w:t>
            </w:r>
            <w:r>
              <w:rPr>
                <w:rFonts w:hint="eastAsia" w:ascii="仿宋" w:hAnsi="仿宋" w:eastAsia="仿宋" w:cs="仿宋"/>
                <w:szCs w:val="21"/>
              </w:rPr>
              <w:t>22.32</w:t>
            </w:r>
            <w:r>
              <w:rPr>
                <w:rFonts w:ascii="仿宋" w:hAnsi="仿宋" w:eastAsia="仿宋" w:cs="仿宋"/>
                <w:szCs w:val="21"/>
              </w:rPr>
              <w:t xml:space="preserve">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15</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开发支出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16</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商誉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17</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长期待摊费用</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18</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递延所得税资产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19</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其他非流动资产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20</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资产总计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1,286.04 </w:t>
            </w:r>
          </w:p>
        </w:tc>
        <w:tc>
          <w:tcPr>
            <w:tcW w:w="118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1,524.55</w:t>
            </w:r>
          </w:p>
        </w:tc>
        <w:tc>
          <w:tcPr>
            <w:tcW w:w="1275"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w:t>
            </w:r>
            <w:r>
              <w:rPr>
                <w:rFonts w:hint="eastAsia" w:ascii="仿宋" w:hAnsi="仿宋" w:eastAsia="仿宋" w:cs="仿宋"/>
                <w:szCs w:val="21"/>
              </w:rPr>
              <w:t>238</w:t>
            </w:r>
            <w:r>
              <w:rPr>
                <w:rFonts w:ascii="仿宋" w:hAnsi="仿宋" w:eastAsia="仿宋" w:cs="仿宋"/>
                <w:szCs w:val="21"/>
              </w:rPr>
              <w:t>.</w:t>
            </w:r>
            <w:r>
              <w:rPr>
                <w:rFonts w:hint="eastAsia" w:ascii="仿宋" w:hAnsi="仿宋" w:eastAsia="仿宋" w:cs="仿宋"/>
                <w:szCs w:val="21"/>
              </w:rPr>
              <w:t>51</w:t>
            </w:r>
            <w:r>
              <w:rPr>
                <w:rFonts w:ascii="仿宋" w:hAnsi="仿宋" w:eastAsia="仿宋" w:cs="仿宋"/>
                <w:szCs w:val="21"/>
              </w:rPr>
              <w:t xml:space="preserve"> </w:t>
            </w:r>
          </w:p>
        </w:tc>
        <w:tc>
          <w:tcPr>
            <w:tcW w:w="1395" w:type="dxa"/>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18.55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21</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流动负债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1.45 </w:t>
            </w:r>
          </w:p>
        </w:tc>
        <w:tc>
          <w:tcPr>
            <w:tcW w:w="118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1.45 </w:t>
            </w:r>
          </w:p>
        </w:tc>
        <w:tc>
          <w:tcPr>
            <w:tcW w:w="1275"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22</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非流动负债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27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23</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负债合计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1.45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1.45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   </w:t>
            </w:r>
          </w:p>
        </w:tc>
      </w:tr>
      <w:tr>
        <w:tblPrEx>
          <w:tblCellMar>
            <w:top w:w="0" w:type="dxa"/>
            <w:left w:w="0" w:type="dxa"/>
            <w:bottom w:w="0" w:type="dxa"/>
            <w:right w:w="0" w:type="dxa"/>
          </w:tblCellMar>
        </w:tblPrEx>
        <w:trPr>
          <w:trHeight w:val="315"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24</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净资产（所有者权益）</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1,284.59 </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1,523.10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w:t>
            </w:r>
            <w:r>
              <w:rPr>
                <w:rFonts w:hint="eastAsia" w:ascii="仿宋" w:hAnsi="仿宋" w:eastAsia="仿宋" w:cs="仿宋"/>
                <w:szCs w:val="21"/>
              </w:rPr>
              <w:t>238</w:t>
            </w:r>
            <w:r>
              <w:rPr>
                <w:rFonts w:ascii="仿宋" w:hAnsi="仿宋" w:eastAsia="仿宋" w:cs="仿宋"/>
                <w:szCs w:val="21"/>
              </w:rPr>
              <w:t>.</w:t>
            </w:r>
            <w:r>
              <w:rPr>
                <w:rFonts w:hint="eastAsia" w:ascii="仿宋" w:hAnsi="仿宋" w:eastAsia="仿宋" w:cs="仿宋"/>
                <w:szCs w:val="21"/>
              </w:rPr>
              <w:t>51</w:t>
            </w:r>
            <w:r>
              <w:rPr>
                <w:rFonts w:ascii="仿宋" w:hAnsi="仿宋" w:eastAsia="仿宋" w:cs="仿宋"/>
                <w:szCs w:val="21"/>
              </w:rPr>
              <w:t xml:space="preserve"> </w:t>
            </w:r>
          </w:p>
        </w:tc>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ascii="仿宋" w:hAnsi="仿宋" w:eastAsia="仿宋" w:cs="仿宋"/>
                <w:szCs w:val="21"/>
              </w:rPr>
              <w:t xml:space="preserve"> 18.57</w:t>
            </w:r>
          </w:p>
        </w:tc>
      </w:tr>
    </w:tbl>
    <w:p>
      <w:pPr>
        <w:pStyle w:val="3"/>
        <w:numPr>
          <w:ilvl w:val="1"/>
          <w:numId w:val="0"/>
        </w:numPr>
        <w:adjustRightInd/>
        <w:spacing w:before="0" w:after="0" w:line="480" w:lineRule="exact"/>
        <w:ind w:left="845" w:leftChars="200"/>
        <w:contextualSpacing/>
        <w:rPr>
          <w:rFonts w:ascii="仿宋" w:hAnsi="仿宋" w:eastAsia="仿宋" w:cs="仿宋"/>
          <w:color w:val="000000"/>
          <w:sz w:val="28"/>
          <w:szCs w:val="28"/>
        </w:rPr>
      </w:pPr>
      <w:bookmarkStart w:id="168" w:name="_Toc485741061"/>
      <w:bookmarkStart w:id="169" w:name="_Toc30596"/>
      <w:r>
        <w:rPr>
          <w:rFonts w:hint="eastAsia" w:ascii="仿宋" w:hAnsi="仿宋" w:eastAsia="仿宋" w:cs="仿宋"/>
          <w:color w:val="000000"/>
          <w:sz w:val="28"/>
          <w:szCs w:val="28"/>
        </w:rPr>
        <w:t>2.收益法评估结果</w:t>
      </w:r>
      <w:bookmarkEnd w:id="168"/>
      <w:bookmarkEnd w:id="169"/>
    </w:p>
    <w:p>
      <w:pPr>
        <w:spacing w:line="480" w:lineRule="exact"/>
        <w:ind w:firstLine="560" w:firstLineChars="200"/>
        <w:contextualSpacing/>
        <w:rPr>
          <w:rFonts w:ascii="仿宋" w:hAnsi="仿宋" w:eastAsia="仿宋" w:cs="仿宋"/>
          <w:color w:val="000000"/>
          <w:sz w:val="28"/>
          <w:szCs w:val="28"/>
        </w:rPr>
      </w:pPr>
      <w:bookmarkStart w:id="170" w:name="_Toc29635"/>
      <w:bookmarkStart w:id="171" w:name="_Toc485741062"/>
      <w:r>
        <w:rPr>
          <w:rFonts w:hint="eastAsia" w:ascii="仿宋" w:hAnsi="仿宋" w:eastAsia="仿宋" w:cs="仿宋"/>
          <w:color w:val="000000"/>
          <w:sz w:val="28"/>
          <w:szCs w:val="28"/>
          <w:lang w:eastAsia="zh-CN"/>
        </w:rPr>
        <w:t>假定</w:t>
      </w:r>
      <w:r>
        <w:rPr>
          <w:rFonts w:hint="eastAsia" w:ascii="仿宋" w:hAnsi="仿宋" w:eastAsia="仿宋" w:cs="仿宋"/>
          <w:color w:val="000000"/>
          <w:sz w:val="28"/>
          <w:szCs w:val="28"/>
        </w:rPr>
        <w:t>在评估基准日2020年06月30日持续经营前提下，江苏焦点粮食储运有限公司股东全部权益价值的评估值2339万元。</w:t>
      </w:r>
    </w:p>
    <w:p>
      <w:pPr>
        <w:pStyle w:val="3"/>
        <w:numPr>
          <w:ilvl w:val="1"/>
          <w:numId w:val="0"/>
        </w:numPr>
        <w:adjustRightInd/>
        <w:spacing w:before="0" w:after="0" w:line="480" w:lineRule="exact"/>
        <w:ind w:left="845" w:leftChars="200"/>
        <w:contextualSpacing/>
        <w:rPr>
          <w:rFonts w:ascii="仿宋" w:hAnsi="仿宋" w:eastAsia="仿宋" w:cs="仿宋"/>
          <w:color w:val="000000"/>
          <w:sz w:val="28"/>
          <w:szCs w:val="28"/>
        </w:rPr>
      </w:pPr>
      <w:r>
        <w:rPr>
          <w:rFonts w:hint="eastAsia" w:ascii="仿宋" w:hAnsi="仿宋" w:eastAsia="仿宋" w:cs="仿宋"/>
          <w:color w:val="000000"/>
          <w:sz w:val="28"/>
          <w:szCs w:val="28"/>
        </w:rPr>
        <w:t>3.评估结论</w:t>
      </w:r>
      <w:bookmarkEnd w:id="170"/>
      <w:bookmarkEnd w:id="171"/>
    </w:p>
    <w:p>
      <w:pPr>
        <w:spacing w:line="480" w:lineRule="exact"/>
        <w:ind w:firstLine="560" w:firstLineChars="200"/>
        <w:contextualSpacing/>
        <w:rPr>
          <w:rFonts w:ascii="仿宋" w:hAnsi="仿宋" w:eastAsia="仿宋" w:cs="仿宋"/>
          <w:color w:val="000000"/>
          <w:sz w:val="28"/>
          <w:szCs w:val="28"/>
        </w:rPr>
      </w:pPr>
      <w:r>
        <w:rPr>
          <w:rFonts w:hint="eastAsia" w:ascii="仿宋" w:hAnsi="仿宋" w:eastAsia="仿宋" w:cs="仿宋"/>
          <w:kern w:val="0"/>
          <w:sz w:val="28"/>
          <w:szCs w:val="28"/>
        </w:rPr>
        <w:t>(1)</w:t>
      </w:r>
      <w:r>
        <w:rPr>
          <w:rFonts w:hint="eastAsia" w:ascii="仿宋" w:hAnsi="仿宋" w:eastAsia="仿宋" w:cs="仿宋"/>
          <w:snapToGrid w:val="0"/>
          <w:sz w:val="28"/>
        </w:rPr>
        <w:t>资产基础法</w:t>
      </w:r>
      <w:r>
        <w:rPr>
          <w:rFonts w:hint="eastAsia" w:ascii="仿宋" w:hAnsi="仿宋" w:eastAsia="仿宋" w:cs="仿宋"/>
          <w:sz w:val="28"/>
          <w:szCs w:val="28"/>
        </w:rPr>
        <w:t>与收益法测算结果差异的原因分析：</w:t>
      </w:r>
    </w:p>
    <w:p>
      <w:pPr>
        <w:spacing w:line="480" w:lineRule="exact"/>
        <w:ind w:firstLine="560" w:firstLineChars="200"/>
        <w:contextualSpacing/>
        <w:rPr>
          <w:rFonts w:ascii="仿宋" w:hAnsi="仿宋" w:eastAsia="仿宋" w:cs="仿宋"/>
          <w:sz w:val="18"/>
          <w:szCs w:val="18"/>
        </w:rPr>
      </w:pPr>
      <w:r>
        <w:rPr>
          <w:rFonts w:hint="eastAsia" w:ascii="仿宋" w:hAnsi="仿宋" w:eastAsia="仿宋" w:cs="仿宋"/>
          <w:color w:val="000000"/>
          <w:sz w:val="28"/>
          <w:szCs w:val="28"/>
        </w:rPr>
        <w:t>资产基础法评估股东全部权益价值为</w:t>
      </w:r>
      <w:r>
        <w:rPr>
          <w:rFonts w:ascii="仿宋" w:hAnsi="仿宋" w:eastAsia="仿宋" w:cs="仿宋"/>
          <w:color w:val="000000"/>
          <w:sz w:val="28"/>
          <w:szCs w:val="28"/>
        </w:rPr>
        <w:t>1523</w:t>
      </w:r>
      <w:r>
        <w:rPr>
          <w:rFonts w:hint="eastAsia" w:ascii="仿宋" w:hAnsi="仿宋" w:eastAsia="仿宋" w:cs="仿宋"/>
          <w:color w:val="000000"/>
          <w:sz w:val="28"/>
          <w:szCs w:val="28"/>
        </w:rPr>
        <w:t>.</w:t>
      </w:r>
      <w:r>
        <w:rPr>
          <w:rFonts w:ascii="仿宋" w:hAnsi="仿宋" w:eastAsia="仿宋" w:cs="仿宋"/>
          <w:color w:val="000000"/>
          <w:sz w:val="28"/>
          <w:szCs w:val="28"/>
        </w:rPr>
        <w:t>10</w:t>
      </w:r>
      <w:r>
        <w:rPr>
          <w:rFonts w:hint="eastAsia" w:ascii="仿宋" w:hAnsi="仿宋" w:eastAsia="仿宋" w:cs="仿宋"/>
          <w:color w:val="000000"/>
          <w:sz w:val="28"/>
          <w:szCs w:val="28"/>
        </w:rPr>
        <w:t>万元，收益法评估股东全部权益价值为2339万元。两种评估方法测算差异的原因主要是：</w:t>
      </w:r>
    </w:p>
    <w:p>
      <w:pPr>
        <w:spacing w:line="480" w:lineRule="exact"/>
        <w:ind w:firstLine="560" w:firstLineChars="200"/>
        <w:contextualSpacing/>
        <w:rPr>
          <w:rFonts w:ascii="仿宋" w:hAnsi="仿宋" w:eastAsia="仿宋" w:cs="仿宋"/>
          <w:color w:val="000000"/>
          <w:sz w:val="28"/>
          <w:szCs w:val="28"/>
        </w:rPr>
      </w:pPr>
      <w:r>
        <w:rPr>
          <w:rFonts w:hint="eastAsia" w:ascii="仿宋" w:hAnsi="仿宋" w:eastAsia="仿宋" w:cs="仿宋"/>
          <w:color w:val="000000"/>
          <w:sz w:val="28"/>
          <w:szCs w:val="28"/>
        </w:rPr>
        <w:t>资产基础法是指在评估基准日，以审计过的财务报表为基础，针对各项财产，采用适宜的方法对被评估企业的申报表中的资产与负债进行逐项评估，用全部资产与负债的评估值差额来反映评估对象的评估值。由于被评估企业成立的时间较短，会计账目较简单且较齐，资产基础法能较准确直观地反映被评估企业现有资产的市场价值。</w:t>
      </w:r>
    </w:p>
    <w:p>
      <w:pPr>
        <w:spacing w:line="480" w:lineRule="exact"/>
        <w:ind w:firstLine="560" w:firstLineChars="200"/>
        <w:contextualSpacing/>
        <w:rPr>
          <w:rFonts w:ascii="仿宋" w:hAnsi="仿宋" w:eastAsia="仿宋" w:cs="仿宋"/>
          <w:color w:val="000000"/>
          <w:sz w:val="28"/>
          <w:szCs w:val="28"/>
        </w:rPr>
      </w:pPr>
      <w:r>
        <w:rPr>
          <w:rFonts w:hint="eastAsia" w:ascii="仿宋" w:hAnsi="仿宋" w:eastAsia="仿宋" w:cs="仿宋"/>
          <w:color w:val="000000"/>
          <w:sz w:val="28"/>
          <w:szCs w:val="28"/>
        </w:rPr>
        <w:t>收益法从企业的预期获利能力的角度评价资产价值，反映了资产的综合获利能力的评估思路。对于处于正常经营期的企业，在经营环境稳定的前提下，收益法不仅考虑被评估企业以会计原则计量的现有资产，同时也考虑了在资产负债表中无法反映的企业实际拥有或控制的资源，如被评估企业上述在未来经营过程中所具备的诸如市场地位、产品优势、人力资源、客户群体等各项优势。在这种状况下，收益法测算企业整体价值是可取的。但本次被评估企业实际处于前期筹备阶段，离正常生产经营还有相当长的时间，在企业正常经营活动开展前，可能会出现各种对未来收益有影响的因素，即存在各种不确定的可能性，我们本次评估对未来净收益仅进行了有限并保守估计，经营期限是以土地剩余使用年限为限，跨度时间较长，因此收益法测算结果可能与实际的状况出入较大。</w:t>
      </w:r>
    </w:p>
    <w:p>
      <w:pPr>
        <w:spacing w:line="480" w:lineRule="exact"/>
        <w:ind w:firstLine="560" w:firstLineChars="200"/>
        <w:contextualSpacing/>
        <w:rPr>
          <w:rFonts w:ascii="仿宋" w:hAnsi="仿宋" w:eastAsia="仿宋" w:cs="仿宋"/>
          <w:color w:val="000000"/>
          <w:sz w:val="28"/>
          <w:szCs w:val="28"/>
        </w:rPr>
      </w:pPr>
      <w:r>
        <w:rPr>
          <w:rFonts w:hint="eastAsia" w:ascii="仿宋" w:hAnsi="仿宋" w:eastAsia="仿宋" w:cs="仿宋"/>
          <w:color w:val="000000"/>
          <w:sz w:val="28"/>
          <w:szCs w:val="28"/>
        </w:rPr>
        <w:t>综上所述，由于资产基础法测算更直接，并客观反映了被评估企业在评估基准日的市场价值，也是被评估企业的真实状态。而收益法的各种不确定性，测算出来的结果仅供参考，或从另一个角度对企业的价值起到佐证作用。</w:t>
      </w:r>
    </w:p>
    <w:p>
      <w:pPr>
        <w:spacing w:line="480" w:lineRule="exact"/>
        <w:ind w:firstLine="560" w:firstLineChars="200"/>
        <w:contextualSpacing/>
        <w:rPr>
          <w:rFonts w:ascii="仿宋" w:hAnsi="仿宋" w:eastAsia="仿宋" w:cs="仿宋"/>
          <w:bCs/>
          <w:kern w:val="0"/>
          <w:sz w:val="28"/>
          <w:szCs w:val="28"/>
        </w:rPr>
      </w:pPr>
      <w:r>
        <w:rPr>
          <w:rFonts w:hint="eastAsia" w:ascii="仿宋" w:hAnsi="仿宋" w:eastAsia="仿宋" w:cs="仿宋"/>
          <w:color w:val="000000"/>
          <w:sz w:val="28"/>
          <w:szCs w:val="28"/>
        </w:rPr>
        <w:t>鉴于以上原因，本次评估采用资产基础法评估结果作为评估对象的最终评估结果，舍弃收益法的评估结果，即</w:t>
      </w:r>
      <w:r>
        <w:rPr>
          <w:rFonts w:hint="eastAsia" w:ascii="仿宋" w:hAnsi="仿宋" w:eastAsia="仿宋" w:cs="仿宋"/>
          <w:b/>
          <w:color w:val="000000"/>
          <w:sz w:val="28"/>
          <w:szCs w:val="28"/>
        </w:rPr>
        <w:t>：</w:t>
      </w:r>
      <w:r>
        <w:rPr>
          <w:rFonts w:hint="eastAsia" w:ascii="仿宋" w:hAnsi="仿宋" w:eastAsia="仿宋" w:cs="仿宋"/>
          <w:bCs/>
          <w:color w:val="000000"/>
          <w:sz w:val="28"/>
          <w:szCs w:val="28"/>
        </w:rPr>
        <w:t>于评估基准日（2020年06月30日），</w:t>
      </w:r>
      <w:r>
        <w:rPr>
          <w:rFonts w:hint="eastAsia" w:ascii="仿宋" w:hAnsi="仿宋" w:eastAsia="仿宋" w:cs="仿宋"/>
          <w:bCs/>
          <w:sz w:val="28"/>
          <w:szCs w:val="28"/>
        </w:rPr>
        <w:t>江苏焦点粮食储运有限公司全部权益的评估价值为</w:t>
      </w:r>
      <w:r>
        <w:rPr>
          <w:rFonts w:ascii="仿宋" w:hAnsi="仿宋" w:eastAsia="仿宋" w:cs="仿宋"/>
          <w:bCs/>
          <w:sz w:val="28"/>
          <w:szCs w:val="28"/>
        </w:rPr>
        <w:t>1523</w:t>
      </w:r>
      <w:r>
        <w:rPr>
          <w:rFonts w:hint="eastAsia" w:ascii="仿宋" w:hAnsi="仿宋" w:eastAsia="仿宋" w:cs="仿宋"/>
          <w:bCs/>
          <w:sz w:val="28"/>
          <w:szCs w:val="28"/>
        </w:rPr>
        <w:t>.</w:t>
      </w:r>
      <w:r>
        <w:rPr>
          <w:rFonts w:ascii="仿宋" w:hAnsi="仿宋" w:eastAsia="仿宋" w:cs="仿宋"/>
          <w:bCs/>
          <w:sz w:val="28"/>
          <w:szCs w:val="28"/>
        </w:rPr>
        <w:t>10</w:t>
      </w:r>
      <w:r>
        <w:rPr>
          <w:rFonts w:hint="eastAsia" w:ascii="仿宋" w:hAnsi="仿宋" w:eastAsia="仿宋" w:cs="仿宋"/>
          <w:bCs/>
          <w:sz w:val="28"/>
          <w:szCs w:val="28"/>
        </w:rPr>
        <w:t>万元。</w:t>
      </w:r>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(2)评估结论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综上所述，我们认为，除评估报告所载明的特别事项说明外，江苏焦点粮食储运有限公司在本报告载明的评估目的、价值类型和评估假设条件下，江苏焦点粮食储运有限公司股东全部权益价值于评估基准日的评估值为：</w:t>
      </w:r>
      <w:r>
        <w:rPr>
          <w:rFonts w:hint="eastAsia" w:ascii="仿宋" w:hAnsi="仿宋" w:eastAsia="仿宋"/>
          <w:b/>
          <w:bCs/>
          <w:sz w:val="28"/>
          <w:szCs w:val="28"/>
        </w:rPr>
        <w:t>1</w:t>
      </w:r>
      <w:r>
        <w:rPr>
          <w:rFonts w:ascii="仿宋" w:hAnsi="仿宋" w:eastAsia="仿宋"/>
          <w:b/>
          <w:bCs/>
          <w:sz w:val="28"/>
          <w:szCs w:val="28"/>
        </w:rPr>
        <w:t>523</w:t>
      </w:r>
      <w:r>
        <w:rPr>
          <w:rFonts w:hint="eastAsia" w:ascii="仿宋" w:hAnsi="仿宋" w:eastAsia="仿宋"/>
          <w:b/>
          <w:bCs/>
          <w:sz w:val="28"/>
          <w:szCs w:val="28"/>
        </w:rPr>
        <w:t>.</w:t>
      </w:r>
      <w:r>
        <w:rPr>
          <w:rFonts w:ascii="仿宋" w:hAnsi="仿宋" w:eastAsia="仿宋"/>
          <w:b/>
          <w:bCs/>
          <w:sz w:val="28"/>
          <w:szCs w:val="28"/>
        </w:rPr>
        <w:t>10</w:t>
      </w:r>
      <w:r>
        <w:rPr>
          <w:rFonts w:hint="eastAsia" w:ascii="仿宋" w:hAnsi="仿宋" w:eastAsia="仿宋"/>
          <w:b/>
          <w:bCs/>
          <w:sz w:val="28"/>
          <w:szCs w:val="28"/>
        </w:rPr>
        <w:t>万元人民币，大写：即壹仟伍佰贰拾叁万壹仟元整</w:t>
      </w:r>
      <w:r>
        <w:rPr>
          <w:rFonts w:hint="eastAsia" w:ascii="仿宋" w:hAnsi="仿宋" w:eastAsia="仿宋"/>
          <w:sz w:val="28"/>
          <w:szCs w:val="28"/>
        </w:rPr>
        <w:t>。</w:t>
      </w:r>
    </w:p>
    <w:p>
      <w:pPr>
        <w:spacing w:line="480" w:lineRule="exact"/>
        <w:ind w:firstLine="560" w:firstLineChars="200"/>
        <w:rPr>
          <w:rFonts w:ascii="仿宋" w:hAnsi="仿宋" w:eastAsia="仿宋" w:cs="仿宋"/>
          <w:kern w:val="0"/>
          <w:sz w:val="28"/>
          <w:szCs w:val="28"/>
        </w:rPr>
      </w:pPr>
      <w:r>
        <w:rPr>
          <w:rFonts w:hint="eastAsia" w:ascii="仿宋" w:hAnsi="仿宋" w:eastAsia="仿宋"/>
          <w:sz w:val="28"/>
          <w:szCs w:val="28"/>
        </w:rPr>
        <w:t>评估结论使用有效期：通常情况下，评估结论的使用有效期自评估基准日2020年06月30日至2021年06月29日止。</w:t>
      </w:r>
    </w:p>
    <w:p>
      <w:pPr>
        <w:pStyle w:val="3"/>
        <w:adjustRightInd/>
        <w:spacing w:before="0" w:after="0" w:line="480" w:lineRule="exact"/>
        <w:ind w:left="0" w:firstLine="560" w:firstLineChars="200"/>
        <w:contextualSpacing/>
        <w:rPr>
          <w:rFonts w:ascii="仿宋" w:hAnsi="仿宋" w:eastAsia="仿宋" w:cs="仿宋"/>
          <w:sz w:val="28"/>
          <w:szCs w:val="28"/>
        </w:rPr>
      </w:pPr>
      <w:bookmarkStart w:id="172" w:name="_Toc485741063"/>
      <w:bookmarkStart w:id="173" w:name="_Toc9043"/>
      <w:bookmarkStart w:id="174" w:name="_Toc3846"/>
      <w:r>
        <w:rPr>
          <w:rFonts w:hint="eastAsia" w:ascii="仿宋" w:hAnsi="仿宋" w:eastAsia="仿宋" w:cs="仿宋"/>
          <w:sz w:val="28"/>
          <w:szCs w:val="28"/>
        </w:rPr>
        <w:t>四、评估结论成立的条件</w:t>
      </w:r>
      <w:bookmarkEnd w:id="172"/>
      <w:bookmarkEnd w:id="173"/>
      <w:bookmarkEnd w:id="174"/>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1.评估结论是根据上述原则、前提、依据、方法、程序得出。</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2.本评估结论仅为本评估目的服务。</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3.评估结论是对评估基准日资产公允价值的反映。</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4.评估结论只有在上述原则、依据、前提存在的条件下成立。</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5.本次评估没有考虑将来可能承担的抵押、担保事宜，以及特殊的交易方可能追加付出的价格等对其评估价格的影响。也未考虑国家宏观经济政策发生变化以及遇有自然力或其他不可抗力对资产价格的影响。</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7.国家现行的税赋基准及税率，税收优惠政策、银行信贷利率以及其他政策性收费等不发生重大变化。</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8.评估结论是本评估机构出具的，受本评估机构评估人员的职业水平和能力的影响。</w:t>
      </w:r>
    </w:p>
    <w:p>
      <w:pPr>
        <w:pStyle w:val="3"/>
        <w:adjustRightInd/>
        <w:spacing w:before="0" w:after="0" w:line="480" w:lineRule="exact"/>
        <w:ind w:left="0" w:firstLine="560" w:firstLineChars="200"/>
        <w:contextualSpacing/>
        <w:rPr>
          <w:rFonts w:ascii="仿宋" w:hAnsi="仿宋" w:eastAsia="仿宋" w:cs="仿宋"/>
          <w:sz w:val="28"/>
          <w:szCs w:val="28"/>
        </w:rPr>
      </w:pPr>
      <w:bookmarkStart w:id="175" w:name="_Toc13073"/>
      <w:bookmarkStart w:id="176" w:name="_Toc22503"/>
      <w:bookmarkStart w:id="177" w:name="_Toc485741064"/>
      <w:r>
        <w:rPr>
          <w:rFonts w:hint="eastAsia" w:ascii="仿宋" w:hAnsi="仿宋" w:eastAsia="仿宋" w:cs="仿宋"/>
          <w:sz w:val="28"/>
          <w:szCs w:val="28"/>
        </w:rPr>
        <w:t>五、评估结论的瑕疵事项</w:t>
      </w:r>
      <w:bookmarkEnd w:id="175"/>
      <w:bookmarkEnd w:id="176"/>
      <w:bookmarkEnd w:id="177"/>
    </w:p>
    <w:p>
      <w:pPr>
        <w:spacing w:line="480" w:lineRule="exact"/>
        <w:ind w:firstLine="560" w:firstLineChars="200"/>
        <w:rPr>
          <w:rFonts w:ascii="仿宋" w:hAnsi="仿宋" w:eastAsia="仿宋" w:cs="仿宋"/>
          <w:sz w:val="28"/>
        </w:rPr>
      </w:pPr>
      <w:bookmarkStart w:id="178" w:name="_Toc485391459"/>
      <w:r>
        <w:rPr>
          <w:rFonts w:hint="eastAsia" w:ascii="仿宋" w:hAnsi="仿宋" w:eastAsia="仿宋" w:cs="仿宋"/>
          <w:sz w:val="28"/>
          <w:szCs w:val="28"/>
        </w:rPr>
        <w:t>1.</w:t>
      </w:r>
      <w:r>
        <w:rPr>
          <w:rFonts w:hint="eastAsia" w:ascii="仿宋" w:hAnsi="仿宋" w:eastAsia="仿宋" w:cs="仿宋"/>
          <w:sz w:val="28"/>
        </w:rPr>
        <w:t>本次评估范围及采用的由被评估企业提供的数据、报表及相关资料，委托方暨被评估企业对其提供资料的真实性、完整性负责。本次评估以被评估企业申报评估的资产为限，评估机构和评估人员对委托方所定评估范围以外的资产不承担发表意见的责任。</w:t>
      </w:r>
    </w:p>
    <w:p>
      <w:pPr>
        <w:spacing w:line="480" w:lineRule="exact"/>
        <w:ind w:firstLine="560" w:firstLineChars="200"/>
        <w:rPr>
          <w:rFonts w:ascii="仿宋" w:hAnsi="仿宋" w:eastAsia="仿宋" w:cs="仿宋"/>
          <w:sz w:val="28"/>
        </w:rPr>
      </w:pPr>
      <w:r>
        <w:rPr>
          <w:rFonts w:hint="eastAsia" w:ascii="仿宋" w:hAnsi="仿宋" w:eastAsia="仿宋" w:cs="仿宋"/>
          <w:sz w:val="28"/>
        </w:rPr>
        <w:t>2.评估报告中涉及的有关权属证明文件及相关资料由被评估企业提供，委托方暨被评估企业对其真实性、合法性承担法律责任。评估机构和评估人员只进行价值估算并发表专业意见，为报告使用者提供价值参考依据，对评估对象法律权属确认或发表意见不在我们的执业范围，我们不对评估对象的法律权属提供保证，我们提请报告使用者关注报告中披露的有关产权瑕疵事项对评估结果的影响。</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3.无形资产的土地权证附记中记载该证有效期至2020年7月2日，如果在有效期未办理相关手续，逾期可能对本次评估结果产生影响。</w:t>
      </w:r>
    </w:p>
    <w:p>
      <w:pPr>
        <w:spacing w:line="480" w:lineRule="exact"/>
        <w:ind w:firstLine="560" w:firstLineChars="200"/>
        <w:rPr>
          <w:rFonts w:ascii="仿宋" w:hAnsi="仿宋" w:eastAsia="仿宋" w:cs="仿宋"/>
          <w:sz w:val="28"/>
          <w:szCs w:val="28"/>
        </w:rPr>
      </w:pPr>
      <w:r>
        <w:rPr>
          <w:rFonts w:hint="eastAsia" w:ascii="仿宋" w:hAnsi="仿宋" w:eastAsia="仿宋"/>
          <w:sz w:val="28"/>
          <w:szCs w:val="28"/>
        </w:rPr>
        <w:t>4.</w:t>
      </w:r>
      <w:r>
        <w:rPr>
          <w:rFonts w:hint="eastAsia" w:ascii="仿宋" w:hAnsi="仿宋" w:eastAsia="仿宋" w:cs="仿宋"/>
          <w:sz w:val="28"/>
          <w:szCs w:val="28"/>
        </w:rPr>
        <w:t>江苏焦点粮食储运有限公司于2019年7月25日申请将岸线许可延期至2021年8月6日。</w:t>
      </w:r>
    </w:p>
    <w:p>
      <w:pPr>
        <w:spacing w:line="480" w:lineRule="exact"/>
        <w:ind w:firstLine="560" w:firstLineChars="200"/>
        <w:rPr>
          <w:rFonts w:ascii="仿宋" w:hAnsi="仿宋" w:eastAsia="仿宋"/>
          <w:sz w:val="28"/>
          <w:szCs w:val="28"/>
        </w:rPr>
      </w:pPr>
      <w:r>
        <w:rPr>
          <w:rFonts w:hint="eastAsia" w:ascii="仿宋" w:hAnsi="仿宋" w:eastAsia="仿宋" w:cs="仿宋"/>
          <w:sz w:val="28"/>
          <w:szCs w:val="28"/>
        </w:rPr>
        <w:t>5.江苏焦点粮食储运有限公司于2018年7月4日取得河道工程占用证，有效期至2021年7月3日。</w:t>
      </w:r>
    </w:p>
    <w:p>
      <w:pPr>
        <w:spacing w:line="480" w:lineRule="exact"/>
        <w:ind w:firstLine="560" w:firstLineChars="200"/>
        <w:rPr>
          <w:rFonts w:ascii="仿宋" w:hAnsi="仿宋" w:eastAsia="仿宋" w:cs="仿宋"/>
          <w:sz w:val="28"/>
        </w:rPr>
      </w:pPr>
      <w:r>
        <w:rPr>
          <w:rFonts w:hint="eastAsia" w:ascii="仿宋" w:hAnsi="仿宋" w:eastAsia="仿宋" w:cs="仿宋"/>
          <w:sz w:val="28"/>
        </w:rPr>
        <w:t>6.本次评估的评估结果是反映委托评估对象在维持现状、外部宏观经济环境不发生变化等假设前提下，在评估基准日所表现的本报告所列明的评估目的下的价值。评估结果不应当被认为是对评估对象可实现价格的保证。</w:t>
      </w:r>
    </w:p>
    <w:p>
      <w:pPr>
        <w:spacing w:line="480" w:lineRule="exact"/>
        <w:ind w:firstLine="560" w:firstLineChars="200"/>
        <w:rPr>
          <w:rFonts w:ascii="仿宋" w:hAnsi="仿宋" w:eastAsia="仿宋" w:cs="仿宋"/>
          <w:sz w:val="28"/>
        </w:rPr>
      </w:pPr>
      <w:r>
        <w:rPr>
          <w:rFonts w:hint="eastAsia" w:ascii="仿宋" w:hAnsi="仿宋" w:eastAsia="仿宋" w:cs="仿宋"/>
          <w:sz w:val="28"/>
        </w:rPr>
        <w:t>对于被评估企业存在的可能影响评估结果的瑕疵事项，在委托方委托时被评估企业未作出特殊说明，而评估人员履行评估程序仍无法获知的情况下，评估机构和评估人员不承担相关责任。</w:t>
      </w:r>
    </w:p>
    <w:p>
      <w:pPr>
        <w:pStyle w:val="3"/>
        <w:adjustRightInd/>
        <w:spacing w:before="0" w:after="0" w:line="480" w:lineRule="exact"/>
        <w:ind w:left="0" w:firstLine="560" w:firstLineChars="200"/>
        <w:contextualSpacing/>
        <w:rPr>
          <w:rFonts w:ascii="仿宋" w:hAnsi="仿宋" w:eastAsia="仿宋" w:cs="仿宋"/>
          <w:sz w:val="28"/>
          <w:szCs w:val="28"/>
        </w:rPr>
      </w:pPr>
      <w:bookmarkStart w:id="179" w:name="_Toc485741065"/>
      <w:bookmarkStart w:id="180" w:name="_Toc8141"/>
      <w:bookmarkStart w:id="181" w:name="_Toc3182"/>
      <w:r>
        <w:rPr>
          <w:rFonts w:hint="eastAsia" w:ascii="仿宋" w:hAnsi="仿宋" w:eastAsia="仿宋" w:cs="仿宋"/>
          <w:sz w:val="28"/>
          <w:szCs w:val="28"/>
        </w:rPr>
        <w:t>六、评估基准日的期后事项说明及对评估结论的影响</w:t>
      </w:r>
      <w:bookmarkEnd w:id="178"/>
      <w:bookmarkEnd w:id="179"/>
      <w:bookmarkEnd w:id="180"/>
      <w:bookmarkEnd w:id="181"/>
    </w:p>
    <w:p>
      <w:pPr>
        <w:spacing w:line="480" w:lineRule="exact"/>
        <w:ind w:firstLine="539"/>
        <w:contextualSpacing/>
        <w:rPr>
          <w:rFonts w:ascii="仿宋" w:hAnsi="仿宋" w:eastAsia="仿宋" w:cs="仿宋"/>
          <w:sz w:val="28"/>
        </w:rPr>
      </w:pPr>
      <w:r>
        <w:rPr>
          <w:rFonts w:hint="eastAsia" w:ascii="仿宋" w:hAnsi="仿宋" w:eastAsia="仿宋" w:cs="仿宋"/>
          <w:sz w:val="28"/>
        </w:rPr>
        <w:t>评估人员做了尽职调查，除上述期后事项外，未发现其他对评估结果可能产生影响的重大期后事项。在评估有效期以内，资产数量及作价标准发生变化时，不能直接使用评估结果，应根据原评估方法对资产额进行相应的调整；若资产价格标准发生变化、并对资产评估值产生明显影响时，委托方应及时聘请评估机构重新确定评估值。</w:t>
      </w:r>
    </w:p>
    <w:p>
      <w:pPr>
        <w:pStyle w:val="3"/>
        <w:adjustRightInd/>
        <w:spacing w:before="0" w:after="0" w:line="480" w:lineRule="exact"/>
        <w:ind w:left="0" w:firstLine="560" w:firstLineChars="200"/>
        <w:contextualSpacing/>
        <w:rPr>
          <w:rFonts w:ascii="仿宋" w:hAnsi="仿宋" w:eastAsia="仿宋" w:cs="仿宋"/>
          <w:sz w:val="28"/>
          <w:szCs w:val="28"/>
        </w:rPr>
      </w:pPr>
      <w:bookmarkStart w:id="182" w:name="_Toc485741066"/>
      <w:bookmarkStart w:id="183" w:name="_Toc18666"/>
      <w:bookmarkStart w:id="184" w:name="_Toc32269"/>
      <w:r>
        <w:rPr>
          <w:rFonts w:hint="eastAsia" w:ascii="仿宋" w:hAnsi="仿宋" w:eastAsia="仿宋" w:cs="仿宋"/>
          <w:sz w:val="28"/>
          <w:szCs w:val="28"/>
        </w:rPr>
        <w:t>七、资产结论的效力、使用范围与有效期</w:t>
      </w:r>
      <w:bookmarkEnd w:id="182"/>
      <w:bookmarkEnd w:id="183"/>
      <w:bookmarkEnd w:id="184"/>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1.本评估结论系评估专业人员依据国家有关规定出具的意见，具有法律规定的效力。</w:t>
      </w:r>
    </w:p>
    <w:p>
      <w:pPr>
        <w:spacing w:line="480" w:lineRule="exact"/>
        <w:ind w:firstLine="560" w:firstLineChars="200"/>
        <w:contextualSpacing/>
        <w:rPr>
          <w:rFonts w:ascii="仿宋" w:hAnsi="仿宋" w:eastAsia="仿宋" w:cs="仿宋"/>
          <w:color w:val="000000"/>
          <w:sz w:val="28"/>
        </w:rPr>
      </w:pPr>
      <w:r>
        <w:rPr>
          <w:rFonts w:hint="eastAsia" w:ascii="仿宋" w:hAnsi="仿宋" w:eastAsia="仿宋" w:cs="仿宋"/>
          <w:sz w:val="28"/>
        </w:rPr>
        <w:t>2.本报告专为委托人所使用，并为本报告所列明的目的而作。除按规定报送有关政府管理部门外，本报告的全部或部分内容除获得我公司</w:t>
      </w:r>
      <w:r>
        <w:rPr>
          <w:rFonts w:hint="eastAsia" w:ascii="仿宋" w:hAnsi="仿宋" w:eastAsia="仿宋" w:cs="仿宋"/>
          <w:color w:val="000000"/>
          <w:sz w:val="28"/>
        </w:rPr>
        <w:t>预先同意外，皆不得转载于任何文件、公告及声明。</w:t>
      </w:r>
    </w:p>
    <w:p>
      <w:pPr>
        <w:spacing w:line="480" w:lineRule="exact"/>
        <w:ind w:firstLine="560" w:firstLineChars="200"/>
        <w:contextualSpacing/>
        <w:rPr>
          <w:rFonts w:ascii="仿宋" w:hAnsi="仿宋" w:eastAsia="仿宋" w:cs="仿宋"/>
          <w:snapToGrid w:val="0"/>
          <w:sz w:val="28"/>
        </w:rPr>
      </w:pPr>
      <w:r>
        <w:rPr>
          <w:rFonts w:hint="eastAsia" w:ascii="仿宋" w:hAnsi="仿宋" w:eastAsia="仿宋" w:cs="仿宋"/>
          <w:color w:val="000000"/>
          <w:sz w:val="28"/>
        </w:rPr>
        <w:t>3.本评估结论为2020年06月30日评估值，有效使用期限为一年，超过2021年06月29日</w:t>
      </w:r>
      <w:r>
        <w:rPr>
          <w:rFonts w:hint="eastAsia" w:ascii="仿宋" w:hAnsi="仿宋" w:eastAsia="仿宋" w:cs="仿宋"/>
          <w:snapToGrid w:val="0"/>
          <w:color w:val="000000"/>
          <w:sz w:val="28"/>
        </w:rPr>
        <w:t>该评估结果无效。</w:t>
      </w:r>
    </w:p>
    <w:sectPr>
      <w:headerReference r:id="rId8" w:type="default"/>
      <w:footerReference r:id="rId9" w:type="default"/>
      <w:pgSz w:w="11907" w:h="16840"/>
      <w:pgMar w:top="1440" w:right="1361" w:bottom="1440" w:left="1440" w:header="1134" w:footer="851" w:gutter="113"/>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Garamond">
    <w:altName w:val="PMingLiU-ExtB"/>
    <w:panose1 w:val="02020404030301010803"/>
    <w:charset w:val="00"/>
    <w:family w:val="roman"/>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Angsana New">
    <w:panose1 w:val="02020603050405020304"/>
    <w:charset w:val="DE"/>
    <w:family w:val="roman"/>
    <w:pitch w:val="default"/>
    <w:sig w:usb0="81000003" w:usb1="00000000" w:usb2="00000000" w:usb3="00000000" w:csb0="00010001" w:csb1="00000000"/>
  </w:font>
  <w:font w:name="Tms Rmn">
    <w:altName w:val="Segoe Print"/>
    <w:panose1 w:val="02020603040505020304"/>
    <w:charset w:val="00"/>
    <w:family w:val="roman"/>
    <w:pitch w:val="default"/>
    <w:sig w:usb0="00000000" w:usb1="00000000" w:usb2="00000000" w:usb3="00000000" w:csb0="00000001" w:csb1="00000000"/>
  </w:font>
  <w:font w:name="UBSHeadline">
    <w:altName w:val="Times New Roman"/>
    <w:panose1 w:val="00000000000000000000"/>
    <w:charset w:val="00"/>
    <w:family w:val="roman"/>
    <w:pitch w:val="default"/>
    <w:sig w:usb0="00000000" w:usb1="00000000" w:usb2="00000000" w:usb3="00000000" w:csb0="00000193" w:csb1="00000000"/>
  </w:font>
  <w:font w:name="华文楷体">
    <w:altName w:val="宋体"/>
    <w:panose1 w:val="02010600040101010101"/>
    <w:charset w:val="86"/>
    <w:family w:val="auto"/>
    <w:pitch w:val="default"/>
    <w:sig w:usb0="00000000" w:usb1="00000000" w:usb2="00000010" w:usb3="00000000" w:csb0="0004009F" w:csb1="0000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文鼎小标宋简">
    <w:altName w:val="宋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6" w:space="7"/>
      </w:pBdr>
      <w:tabs>
        <w:tab w:val="center" w:pos="4153"/>
        <w:tab w:val="right" w:pos="8306"/>
        <w:tab w:val="clear" w:pos="4320"/>
        <w:tab w:val="clear" w:pos="8640"/>
      </w:tabs>
      <w:jc w:val="both"/>
      <w:rPr>
        <w:rFonts w:ascii="仿宋" w:hAnsi="仿宋" w:eastAsia="仿宋" w:cs="仿宋"/>
        <w:kern w:val="2"/>
        <w:sz w:val="21"/>
        <w:szCs w:val="21"/>
      </w:rPr>
    </w:pPr>
    <w:r>
      <w:rPr>
        <w:sz w:val="21"/>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r>
      <w:rPr>
        <w:rFonts w:hint="eastAsia" w:ascii="仿宋" w:hAnsi="仿宋" w:eastAsia="仿宋" w:cs="仿宋"/>
        <w:kern w:val="2"/>
        <w:sz w:val="21"/>
        <w:szCs w:val="21"/>
      </w:rPr>
      <w:t>地址：南京市鼓楼区广州</w:t>
    </w:r>
    <w:r>
      <w:rPr>
        <w:rFonts w:hint="eastAsia" w:ascii="仿宋" w:hAnsi="仿宋" w:eastAsia="仿宋" w:cs="仿宋"/>
        <w:kern w:val="2"/>
        <w:sz w:val="24"/>
        <w:szCs w:val="24"/>
      </w:rPr>
      <w:t>路37号江苏科技大厦23楼     联系电话：025-84719289</w:t>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60"/>
      </w:rPr>
    </w:pPr>
    <w:r>
      <w:fldChar w:fldCharType="begin"/>
    </w:r>
    <w:r>
      <w:rPr>
        <w:rStyle w:val="60"/>
      </w:rPr>
      <w:instrText xml:space="preserve">PAGE  </w:instrTex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thinThickSmallGap" w:color="auto" w:sz="24" w:space="1"/>
      </w:pBdr>
      <w:tabs>
        <w:tab w:val="left" w:pos="1800"/>
      </w:tabs>
      <w:spacing w:line="240" w:lineRule="auto"/>
      <w:rPr>
        <w:rFonts w:ascii="仿宋_GB2312" w:eastAsia="仿宋_GB2312"/>
        <w:b/>
        <w:spacing w:val="-6"/>
        <w:sz w:val="22"/>
      </w:rPr>
    </w:pPr>
    <w:r>
      <w:rPr>
        <w:rFonts w:hint="eastAsia" w:ascii="仿宋_GB2312" w:eastAsia="仿宋_GB2312"/>
        <w:b/>
        <w:spacing w:val="-6"/>
        <w:sz w:val="22"/>
      </w:rPr>
      <w:t xml:space="preserve">通信地址:北京市东城区朝阳门北大街8号富华大厦A座13层                          </w:t>
    </w:r>
    <w:r>
      <w:rPr>
        <w:rFonts w:ascii="仿宋_GB2312" w:eastAsia="仿宋_GB2312"/>
        <w:b/>
        <w:spacing w:val="-6"/>
        <w:sz w:val="22"/>
      </w:rPr>
      <w:fldChar w:fldCharType="begin"/>
    </w:r>
    <w:r>
      <w:rPr>
        <w:rFonts w:ascii="仿宋_GB2312" w:eastAsia="仿宋_GB2312"/>
        <w:b/>
        <w:spacing w:val="-6"/>
        <w:sz w:val="22"/>
      </w:rPr>
      <w:instrText xml:space="preserve"> PAGE   \* MERGEFORMAT </w:instrText>
    </w:r>
    <w:r>
      <w:rPr>
        <w:rFonts w:ascii="仿宋_GB2312" w:eastAsia="仿宋_GB2312"/>
        <w:b/>
        <w:spacing w:val="-6"/>
        <w:sz w:val="22"/>
      </w:rPr>
      <w:fldChar w:fldCharType="separate"/>
    </w:r>
    <w:r>
      <w:rPr>
        <w:rFonts w:ascii="仿宋_GB2312" w:eastAsia="仿宋_GB2312"/>
        <w:b/>
        <w:spacing w:val="-6"/>
        <w:sz w:val="22"/>
        <w:lang w:val="zh-CN"/>
      </w:rPr>
      <w:t>83</w:t>
    </w:r>
    <w:r>
      <w:rPr>
        <w:rFonts w:ascii="仿宋_GB2312" w:eastAsia="仿宋_GB2312"/>
        <w:b/>
        <w:spacing w:val="-6"/>
        <w:sz w:val="22"/>
      </w:rPr>
      <w:fldChar w:fldCharType="end"/>
    </w:r>
  </w:p>
  <w:p>
    <w:pPr>
      <w:pStyle w:val="33"/>
      <w:tabs>
        <w:tab w:val="left" w:pos="1800"/>
      </w:tabs>
      <w:spacing w:line="240" w:lineRule="auto"/>
      <w:ind w:right="8"/>
    </w:pPr>
    <w:r>
      <w:rPr>
        <w:rFonts w:hint="eastAsia" w:ascii="仿宋_GB2312" w:eastAsia="仿宋_GB2312"/>
        <w:b/>
        <w:sz w:val="22"/>
      </w:rPr>
      <w:t>邮政编码:100027         电话:(010)58383636         传真:(010)65547182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6" w:space="7"/>
      </w:pBdr>
      <w:tabs>
        <w:tab w:val="center" w:pos="4153"/>
        <w:tab w:val="right" w:pos="8306"/>
        <w:tab w:val="clear" w:pos="4320"/>
        <w:tab w:val="clear" w:pos="8640"/>
      </w:tabs>
      <w:jc w:val="both"/>
      <w:rPr>
        <w:rFonts w:ascii="仿宋" w:hAnsi="仿宋" w:eastAsia="仿宋" w:cs="仿宋"/>
        <w:kern w:val="2"/>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posOffset>2607310</wp:posOffset>
              </wp:positionH>
              <wp:positionV relativeFrom="paragraph">
                <wp:posOffset>190500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3pt;margin-top:15pt;height:144pt;width:144pt;mso-position-horizontal-relative:margin;mso-wrap-style:none;z-index:251658240;mso-width-relative:page;mso-height-relative:page;" filled="f" stroked="f" coordsize="21600,21600" o:gfxdata="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rBJ/HVAAAACgEAAA8AAAAAAAAAAQAgAAAA&#10;IgAAAGRycy9kb3ducmV2LnhtbFBLAQIUABQAAAAIAIdO4kAESRqLDgIAAAcEAAAOAAAAAAAAAAEA&#10;IAAAACQBAABkcnMvZTJvRG9jLnhtbFBLBQYAAAAABgAGAFkBAACkBQAAAAA=&#10;">
              <v:fill on="f" focussize="0,0"/>
              <v:stroke on="f" weight="0.5pt"/>
              <v:imagedata o:title=""/>
              <o:lock v:ext="edit" aspectratio="f"/>
              <v:textbox inset="0mm,0mm,0mm,0mm" style="mso-fit-shape-to-text:t;">
                <w:txbxContent>
                  <w:p>
                    <w:pPr>
                      <w:pStyle w:val="3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r>
      <w:rPr>
        <w:rFonts w:hint="eastAsia" w:ascii="仿宋" w:hAnsi="仿宋" w:eastAsia="仿宋" w:cs="仿宋"/>
        <w:kern w:val="2"/>
        <w:sz w:val="21"/>
        <w:szCs w:val="21"/>
      </w:rPr>
      <w:t>地址：南京市鼓楼区广州</w:t>
    </w:r>
    <w:r>
      <w:rPr>
        <w:rFonts w:hint="eastAsia" w:ascii="仿宋" w:hAnsi="仿宋" w:eastAsia="仿宋" w:cs="仿宋"/>
        <w:kern w:val="2"/>
        <w:sz w:val="24"/>
        <w:szCs w:val="24"/>
      </w:rPr>
      <w:t>路37号江苏科技大厦23楼     联系电话：025-84719289</w:t>
    </w:r>
  </w:p>
  <w:p>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6" w:space="7"/>
      </w:pBdr>
      <w:tabs>
        <w:tab w:val="center" w:pos="4153"/>
        <w:tab w:val="right" w:pos="8306"/>
        <w:tab w:val="clear" w:pos="4320"/>
        <w:tab w:val="clear" w:pos="8640"/>
      </w:tabs>
      <w:jc w:val="both"/>
      <w:rPr>
        <w:rFonts w:ascii="仿宋" w:hAnsi="仿宋" w:eastAsia="仿宋" w:cs="仿宋"/>
        <w:kern w:val="2"/>
        <w:sz w:val="21"/>
        <w:szCs w:val="21"/>
      </w:rPr>
    </w:pPr>
    <w:r>
      <w:rPr>
        <w:rFonts w:hint="eastAsia" w:ascii="仿宋" w:hAnsi="仿宋" w:eastAsia="仿宋" w:cs="仿宋"/>
        <w:kern w:val="2"/>
        <w:sz w:val="21"/>
        <w:szCs w:val="21"/>
      </w:rPr>
      <w:t>地址：南京市鼓楼区广州</w:t>
    </w:r>
    <w:r>
      <w:rPr>
        <w:rFonts w:hint="eastAsia" w:ascii="仿宋" w:hAnsi="仿宋" w:eastAsia="仿宋" w:cs="仿宋"/>
        <w:kern w:val="2"/>
        <w:sz w:val="24"/>
        <w:szCs w:val="24"/>
      </w:rPr>
      <w:t>路37号江苏科技大厦23楼     联系电话：025-84719289</w:t>
    </w:r>
  </w:p>
  <w:p>
    <w:pPr>
      <w:pStyle w:val="33"/>
    </w:pPr>
    <w:r>
      <w:rPr>
        <w:sz w:val="21"/>
      </w:rPr>
      <mc:AlternateContent>
        <mc:Choice Requires="wps">
          <w:drawing>
            <wp:anchor distT="0" distB="0" distL="114300" distR="114300" simplePos="0" relativeHeight="251658240" behindDoc="0" locked="0" layoutInCell="1" allowOverlap="1">
              <wp:simplePos x="0" y="0"/>
              <wp:positionH relativeFrom="margin">
                <wp:posOffset>2832735</wp:posOffset>
              </wp:positionH>
              <wp:positionV relativeFrom="paragraph">
                <wp:posOffset>1905</wp:posOffset>
              </wp:positionV>
              <wp:extent cx="1828800" cy="1212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212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3.05pt;margin-top:0.15pt;height:9.55pt;width:144pt;mso-position-horizontal-relative:margin;mso-wrap-style:none;z-index:251658240;mso-width-relative:page;mso-height-relative:page;" filled="f" stroked="f" coordsize="21600,21600" o:gfxdata="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PgifvVAAAABwEAAA8AAAAAAAAAAQAg&#10;AAAAIgAAAGRycy9kb3ducmV2LnhtbFBLAQIUABQAAAAIAIdO4kAxXSspEQIAAAYEAAAOAAAAAAAA&#10;AAEAIAAAACQBAABkcnMvZTJvRG9jLnhtbFBLBQYAAAAABgAGAFkBAACnBQAAAAA=&#10;">
              <v:fill on="f" focussize="0,0"/>
              <v:stroke on="f" weight="0.5pt"/>
              <v:imagedata o:title=""/>
              <o:lock v:ext="edit" aspectratio="f"/>
              <v:textbox inset="0mm,0mm,0mm,0mm">
                <w:txbxContent>
                  <w:p>
                    <w:pPr>
                      <w:pStyle w:val="3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153"/>
        <w:tab w:val="right" w:pos="8306"/>
        <w:tab w:val="clear" w:pos="4320"/>
        <w:tab w:val="clear" w:pos="8640"/>
      </w:tabs>
      <w:jc w:val="both"/>
    </w:pPr>
    <w:r>
      <w:rPr>
        <w:rFonts w:hint="eastAsia" w:ascii="仿宋" w:hAnsi="仿宋" w:eastAsia="仿宋" w:cs="仿宋"/>
        <w:iCs/>
        <w:sz w:val="21"/>
        <w:szCs w:val="21"/>
      </w:rPr>
      <w:t>江苏金汇通房地产资产评估造价咨询有限公司                         资产评估报告书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ascii="仿宋" w:hAnsi="仿宋" w:eastAsia="仿宋" w:cs="仿宋"/>
        <w:iCs/>
        <w:sz w:val="21"/>
        <w:szCs w:val="21"/>
      </w:rPr>
      <w:t>江苏金汇通房地产资产评估造价咨询有限公司                         资产评估报告书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E8A04"/>
    <w:multiLevelType w:val="singleLevel"/>
    <w:tmpl w:val="C88E8A04"/>
    <w:lvl w:ilvl="0" w:tentative="0">
      <w:start w:val="1"/>
      <w:numFmt w:val="decimal"/>
      <w:suff w:val="nothing"/>
      <w:lvlText w:val="%1、"/>
      <w:lvlJc w:val="left"/>
    </w:lvl>
  </w:abstractNum>
  <w:abstractNum w:abstractNumId="1">
    <w:nsid w:val="FFFFFF83"/>
    <w:multiLevelType w:val="singleLevel"/>
    <w:tmpl w:val="FFFFFF83"/>
    <w:lvl w:ilvl="0" w:tentative="0">
      <w:start w:val="1"/>
      <w:numFmt w:val="bullet"/>
      <w:pStyle w:val="24"/>
      <w:lvlText w:val=""/>
      <w:lvlJc w:val="left"/>
      <w:pPr>
        <w:tabs>
          <w:tab w:val="left" w:pos="780"/>
        </w:tabs>
        <w:ind w:left="780" w:leftChars="200" w:hanging="360" w:hangingChars="200"/>
      </w:pPr>
      <w:rPr>
        <w:rFonts w:hint="default" w:ascii="Wingdings" w:hAnsi="Wingdings"/>
      </w:rPr>
    </w:lvl>
  </w:abstractNum>
  <w:abstractNum w:abstractNumId="2">
    <w:nsid w:val="00000009"/>
    <w:multiLevelType w:val="multilevel"/>
    <w:tmpl w:val="00000009"/>
    <w:lvl w:ilvl="0" w:tentative="0">
      <w:start w:val="1"/>
      <w:numFmt w:val="none"/>
      <w:lvlText w:val="."/>
      <w:legacy w:legacy="1" w:legacySpace="0" w:legacyIndent="425"/>
      <w:lvlJc w:val="left"/>
      <w:pPr>
        <w:ind w:left="1843" w:hanging="425"/>
      </w:pPr>
    </w:lvl>
    <w:lvl w:ilvl="1" w:tentative="0">
      <w:start w:val="1"/>
      <w:numFmt w:val="upperLetter"/>
      <w:lvlText w:val="%2."/>
      <w:legacy w:legacy="1" w:legacySpace="0" w:legacyIndent="425"/>
      <w:lvlJc w:val="left"/>
      <w:pPr>
        <w:ind w:left="2268" w:hanging="425"/>
      </w:pPr>
      <w:rPr>
        <w:b w:val="0"/>
        <w:bCs w:val="0"/>
        <w:i w:val="0"/>
        <w:iCs w:val="0"/>
        <w:caps w:val="0"/>
        <w:smallCaps w:val="0"/>
        <w:strike w:val="0"/>
        <w:dstrike w:val="0"/>
        <w:vanish w:val="0"/>
        <w:color w:val="000000"/>
        <w:spacing w:val="0"/>
        <w:position w:val="0"/>
        <w:u w:val="none"/>
        <w:vertAlign w:val="baseline"/>
      </w:rPr>
    </w:lvl>
    <w:lvl w:ilvl="2" w:tentative="0">
      <w:start w:val="1"/>
      <w:numFmt w:val="chineseCountingThousand"/>
      <w:pStyle w:val="4"/>
      <w:lvlText w:val="%3、"/>
      <w:lvlJc w:val="left"/>
      <w:pPr>
        <w:ind w:left="1134" w:hanging="425"/>
      </w:pPr>
      <w:rPr>
        <w:lang w:val="en-US"/>
      </w:rPr>
    </w:lvl>
    <w:lvl w:ilvl="3" w:tentative="0">
      <w:start w:val="1"/>
      <w:numFmt w:val="lowerLetter"/>
      <w:lvlText w:val="%4)"/>
      <w:legacy w:legacy="1" w:legacySpace="0" w:legacyIndent="425"/>
      <w:lvlJc w:val="left"/>
      <w:pPr>
        <w:ind w:left="3118" w:hanging="425"/>
      </w:pPr>
    </w:lvl>
    <w:lvl w:ilvl="4" w:tentative="0">
      <w:start w:val="1"/>
      <w:numFmt w:val="decimal"/>
      <w:lvlText w:val="(%5)"/>
      <w:legacy w:legacy="1" w:legacySpace="0" w:legacyIndent="425"/>
      <w:lvlJc w:val="left"/>
      <w:pPr>
        <w:ind w:left="3543" w:hanging="425"/>
      </w:pPr>
    </w:lvl>
    <w:lvl w:ilvl="5" w:tentative="0">
      <w:start w:val="1"/>
      <w:numFmt w:val="lowerLetter"/>
      <w:lvlText w:val="(%6)"/>
      <w:legacy w:legacy="1" w:legacySpace="0" w:legacyIndent="425"/>
      <w:lvlJc w:val="left"/>
      <w:pPr>
        <w:ind w:left="3968" w:hanging="425"/>
      </w:pPr>
    </w:lvl>
    <w:lvl w:ilvl="6" w:tentative="0">
      <w:start w:val="1"/>
      <w:numFmt w:val="lowerRoman"/>
      <w:lvlText w:val="(%7)"/>
      <w:legacy w:legacy="1" w:legacySpace="0" w:legacyIndent="425"/>
      <w:lvlJc w:val="left"/>
      <w:pPr>
        <w:ind w:left="4393" w:hanging="425"/>
      </w:pPr>
    </w:lvl>
    <w:lvl w:ilvl="7" w:tentative="0">
      <w:start w:val="1"/>
      <w:numFmt w:val="lowerLetter"/>
      <w:lvlText w:val="(%8)"/>
      <w:legacy w:legacy="1" w:legacySpace="0" w:legacyIndent="425"/>
      <w:lvlJc w:val="left"/>
      <w:pPr>
        <w:ind w:left="4818" w:hanging="425"/>
      </w:pPr>
    </w:lvl>
    <w:lvl w:ilvl="8" w:tentative="0">
      <w:start w:val="1"/>
      <w:numFmt w:val="lowerRoman"/>
      <w:lvlText w:val="(%9)"/>
      <w:legacy w:legacy="1" w:legacySpace="0" w:legacyIndent="425"/>
      <w:lvlJc w:val="left"/>
      <w:pPr>
        <w:ind w:left="5243" w:hanging="425"/>
      </w:pPr>
    </w:lvl>
  </w:abstractNum>
  <w:abstractNum w:abstractNumId="3">
    <w:nsid w:val="00000011"/>
    <w:multiLevelType w:val="multilevel"/>
    <w:tmpl w:val="00000011"/>
    <w:lvl w:ilvl="0" w:tentative="0">
      <w:start w:val="1"/>
      <w:numFmt w:val="chineseCountingThousand"/>
      <w:lvlText w:val="第%1部分"/>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275" w:hanging="435"/>
      </w:pPr>
      <w:rPr>
        <w:rFonts w:hint="default" w:ascii="仿宋_GB2312" w:hAnsi="宋体" w:eastAsia="仿宋_GB2312"/>
        <w:sz w:val="28"/>
      </w:rPr>
    </w:lvl>
    <w:lvl w:ilvl="3" w:tentative="0">
      <w:start w:val="1"/>
      <w:numFmt w:val="decimal"/>
      <w:lvlText w:val="%4."/>
      <w:lvlJc w:val="left"/>
      <w:pPr>
        <w:ind w:left="0" w:firstLine="40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47D6C88"/>
    <w:multiLevelType w:val="multilevel"/>
    <w:tmpl w:val="047D6C88"/>
    <w:lvl w:ilvl="0" w:tentative="0">
      <w:start w:val="3"/>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16696D4B"/>
    <w:multiLevelType w:val="multilevel"/>
    <w:tmpl w:val="16696D4B"/>
    <w:lvl w:ilvl="0" w:tentative="0">
      <w:start w:val="1"/>
      <w:numFmt w:val="chineseCountingThousand"/>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28DFACFA"/>
    <w:multiLevelType w:val="singleLevel"/>
    <w:tmpl w:val="28DFACFA"/>
    <w:lvl w:ilvl="0" w:tentative="0">
      <w:start w:val="1"/>
      <w:numFmt w:val="decimal"/>
      <w:suff w:val="nothing"/>
      <w:lvlText w:val="%1、"/>
      <w:lvlJc w:val="left"/>
    </w:lvl>
  </w:abstractNum>
  <w:abstractNum w:abstractNumId="7">
    <w:nsid w:val="2B4B8548"/>
    <w:multiLevelType w:val="singleLevel"/>
    <w:tmpl w:val="2B4B8548"/>
    <w:lvl w:ilvl="0" w:tentative="0">
      <w:start w:val="1"/>
      <w:numFmt w:val="decimal"/>
      <w:suff w:val="nothing"/>
      <w:lvlText w:val="%1、"/>
      <w:lvlJc w:val="left"/>
      <w:pPr>
        <w:ind w:left="420" w:firstLine="0"/>
      </w:pPr>
    </w:lvl>
  </w:abstractNum>
  <w:abstractNum w:abstractNumId="8">
    <w:nsid w:val="2BD836E9"/>
    <w:multiLevelType w:val="multilevel"/>
    <w:tmpl w:val="2BD836E9"/>
    <w:lvl w:ilvl="0" w:tentative="0">
      <w:start w:val="1"/>
      <w:numFmt w:val="japaneseCounting"/>
      <w:pStyle w:val="423"/>
      <w:lvlText w:val="（%1）"/>
      <w:lvlJc w:val="left"/>
      <w:pPr>
        <w:ind w:left="1506" w:hanging="1080"/>
      </w:pPr>
      <w:rPr>
        <w:b/>
        <w:bCs w:val="0"/>
        <w:i w:val="0"/>
        <w:iCs w:val="0"/>
        <w:caps w:val="0"/>
        <w:smallCaps w:val="0"/>
        <w:strike w:val="0"/>
        <w:dstrike w:val="0"/>
        <w:color w:val="000000"/>
        <w:spacing w:val="0"/>
        <w:position w:val="0"/>
        <w:u w:val="none"/>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9">
    <w:nsid w:val="393B52B0"/>
    <w:multiLevelType w:val="multilevel"/>
    <w:tmpl w:val="393B52B0"/>
    <w:lvl w:ilvl="0" w:tentative="0">
      <w:start w:val="1"/>
      <w:numFmt w:val="chineseCountingThousand"/>
      <w:pStyle w:val="45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1527B36"/>
    <w:multiLevelType w:val="singleLevel"/>
    <w:tmpl w:val="51527B36"/>
    <w:lvl w:ilvl="0" w:tentative="0">
      <w:start w:val="2"/>
      <w:numFmt w:val="chineseCounting"/>
      <w:suff w:val="nothing"/>
      <w:lvlText w:val="（%1）"/>
      <w:lvlJc w:val="left"/>
      <w:rPr>
        <w:rFonts w:hint="eastAsia"/>
      </w:rPr>
    </w:lvl>
  </w:abstractNum>
  <w:abstractNum w:abstractNumId="11">
    <w:nsid w:val="7DD11B7E"/>
    <w:multiLevelType w:val="multilevel"/>
    <w:tmpl w:val="7DD11B7E"/>
    <w:lvl w:ilvl="0" w:tentative="0">
      <w:start w:val="1"/>
      <w:numFmt w:val="decimalEnclosedCircle"/>
      <w:lvlText w:val="%1"/>
      <w:lvlJc w:val="left"/>
      <w:pPr>
        <w:tabs>
          <w:tab w:val="left" w:pos="1200"/>
        </w:tabs>
        <w:ind w:left="1200" w:hanging="720"/>
      </w:pPr>
      <w:rPr>
        <w:rFonts w:hint="eastAsia"/>
      </w:rPr>
    </w:lvl>
    <w:lvl w:ilvl="1" w:tentative="0">
      <w:start w:val="1"/>
      <w:numFmt w:val="decimalEnclosedCircle"/>
      <w:lvlText w:val="%2"/>
      <w:lvlJc w:val="left"/>
      <w:pPr>
        <w:tabs>
          <w:tab w:val="left" w:pos="1200"/>
        </w:tabs>
        <w:ind w:left="1200" w:hanging="720"/>
      </w:pPr>
      <w:rPr>
        <w:rFonts w:hint="eastAsia"/>
        <w:color w:val="auto"/>
      </w:rPr>
    </w:lvl>
    <w:lvl w:ilvl="2" w:tentative="0">
      <w:start w:val="1"/>
      <w:numFmt w:val="decimal"/>
      <w:lvlText w:val="%3、"/>
      <w:lvlJc w:val="left"/>
      <w:pPr>
        <w:tabs>
          <w:tab w:val="left" w:pos="2160"/>
        </w:tabs>
        <w:ind w:left="2160" w:hanging="84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1"/>
  </w:num>
  <w:num w:numId="3">
    <w:abstractNumId w:val="8"/>
  </w:num>
  <w:num w:numId="4">
    <w:abstractNumId w:val="9"/>
  </w:num>
  <w:num w:numId="5">
    <w:abstractNumId w:val="3"/>
  </w:num>
  <w:num w:numId="6">
    <w:abstractNumId w:val="6"/>
  </w:num>
  <w:num w:numId="7">
    <w:abstractNumId w:val="10"/>
  </w:num>
  <w:num w:numId="8">
    <w:abstractNumId w:val="0"/>
  </w:num>
  <w:num w:numId="9">
    <w:abstractNumId w:val="5"/>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8CD"/>
    <w:rsid w:val="00001A28"/>
    <w:rsid w:val="0001052A"/>
    <w:rsid w:val="00011453"/>
    <w:rsid w:val="00011BBB"/>
    <w:rsid w:val="00014271"/>
    <w:rsid w:val="00016711"/>
    <w:rsid w:val="00017600"/>
    <w:rsid w:val="00022FB0"/>
    <w:rsid w:val="0002387B"/>
    <w:rsid w:val="00032826"/>
    <w:rsid w:val="00032CAC"/>
    <w:rsid w:val="00033DFC"/>
    <w:rsid w:val="00034DEB"/>
    <w:rsid w:val="0003508C"/>
    <w:rsid w:val="00041142"/>
    <w:rsid w:val="00042DCE"/>
    <w:rsid w:val="00042E4F"/>
    <w:rsid w:val="00044258"/>
    <w:rsid w:val="000508B7"/>
    <w:rsid w:val="00051226"/>
    <w:rsid w:val="00052E99"/>
    <w:rsid w:val="000538D9"/>
    <w:rsid w:val="000616BB"/>
    <w:rsid w:val="00061A2A"/>
    <w:rsid w:val="00062B13"/>
    <w:rsid w:val="000661A7"/>
    <w:rsid w:val="000665D3"/>
    <w:rsid w:val="00067AA2"/>
    <w:rsid w:val="00067CFC"/>
    <w:rsid w:val="00071386"/>
    <w:rsid w:val="00073D8E"/>
    <w:rsid w:val="00084D51"/>
    <w:rsid w:val="00086499"/>
    <w:rsid w:val="0008696C"/>
    <w:rsid w:val="00090578"/>
    <w:rsid w:val="00093B19"/>
    <w:rsid w:val="00093E66"/>
    <w:rsid w:val="00096A3A"/>
    <w:rsid w:val="000A4CB9"/>
    <w:rsid w:val="000A6643"/>
    <w:rsid w:val="000A6FB9"/>
    <w:rsid w:val="000A7448"/>
    <w:rsid w:val="000B00EA"/>
    <w:rsid w:val="000B2F51"/>
    <w:rsid w:val="000B45B3"/>
    <w:rsid w:val="000B721F"/>
    <w:rsid w:val="000B7E63"/>
    <w:rsid w:val="000C139E"/>
    <w:rsid w:val="000C4FFF"/>
    <w:rsid w:val="000C605E"/>
    <w:rsid w:val="000C6785"/>
    <w:rsid w:val="000C7BDE"/>
    <w:rsid w:val="000D3803"/>
    <w:rsid w:val="000D5728"/>
    <w:rsid w:val="000D5FF9"/>
    <w:rsid w:val="000D7694"/>
    <w:rsid w:val="000E3248"/>
    <w:rsid w:val="000E56CD"/>
    <w:rsid w:val="000F4871"/>
    <w:rsid w:val="000F75A4"/>
    <w:rsid w:val="00102879"/>
    <w:rsid w:val="00103100"/>
    <w:rsid w:val="00103392"/>
    <w:rsid w:val="00104F41"/>
    <w:rsid w:val="00110CDD"/>
    <w:rsid w:val="00111345"/>
    <w:rsid w:val="00112182"/>
    <w:rsid w:val="00112C5E"/>
    <w:rsid w:val="00112E49"/>
    <w:rsid w:val="00114278"/>
    <w:rsid w:val="00114CFD"/>
    <w:rsid w:val="0011652E"/>
    <w:rsid w:val="001219E3"/>
    <w:rsid w:val="00122F95"/>
    <w:rsid w:val="00125530"/>
    <w:rsid w:val="00125FFC"/>
    <w:rsid w:val="0012780B"/>
    <w:rsid w:val="00131798"/>
    <w:rsid w:val="00133212"/>
    <w:rsid w:val="001340FC"/>
    <w:rsid w:val="00135263"/>
    <w:rsid w:val="00140F12"/>
    <w:rsid w:val="00142FA8"/>
    <w:rsid w:val="001430ED"/>
    <w:rsid w:val="00143AD2"/>
    <w:rsid w:val="0014442B"/>
    <w:rsid w:val="0014639A"/>
    <w:rsid w:val="00153596"/>
    <w:rsid w:val="00153C5F"/>
    <w:rsid w:val="00155640"/>
    <w:rsid w:val="0016189A"/>
    <w:rsid w:val="00162FAA"/>
    <w:rsid w:val="0016580D"/>
    <w:rsid w:val="00171DA4"/>
    <w:rsid w:val="00172A27"/>
    <w:rsid w:val="00172EB3"/>
    <w:rsid w:val="001756B5"/>
    <w:rsid w:val="00175A5C"/>
    <w:rsid w:val="001779E7"/>
    <w:rsid w:val="00180BC4"/>
    <w:rsid w:val="00181DAB"/>
    <w:rsid w:val="001823DB"/>
    <w:rsid w:val="001836D3"/>
    <w:rsid w:val="00185783"/>
    <w:rsid w:val="00191569"/>
    <w:rsid w:val="00193BEE"/>
    <w:rsid w:val="00193C04"/>
    <w:rsid w:val="001946C0"/>
    <w:rsid w:val="00197D00"/>
    <w:rsid w:val="001A043A"/>
    <w:rsid w:val="001A0CFF"/>
    <w:rsid w:val="001A1817"/>
    <w:rsid w:val="001A42FE"/>
    <w:rsid w:val="001A44AA"/>
    <w:rsid w:val="001A749F"/>
    <w:rsid w:val="001A7D0D"/>
    <w:rsid w:val="001B01A4"/>
    <w:rsid w:val="001B027D"/>
    <w:rsid w:val="001B4F8B"/>
    <w:rsid w:val="001C41B1"/>
    <w:rsid w:val="001C53FB"/>
    <w:rsid w:val="001C57BE"/>
    <w:rsid w:val="001C64DF"/>
    <w:rsid w:val="001C6672"/>
    <w:rsid w:val="001C6C2B"/>
    <w:rsid w:val="001D0D66"/>
    <w:rsid w:val="001D1F66"/>
    <w:rsid w:val="001D3E35"/>
    <w:rsid w:val="001D43F2"/>
    <w:rsid w:val="001D5F47"/>
    <w:rsid w:val="001D7111"/>
    <w:rsid w:val="001E093E"/>
    <w:rsid w:val="001E193B"/>
    <w:rsid w:val="001E3262"/>
    <w:rsid w:val="001E4186"/>
    <w:rsid w:val="001E48CD"/>
    <w:rsid w:val="001E660C"/>
    <w:rsid w:val="001E6872"/>
    <w:rsid w:val="001E7DDC"/>
    <w:rsid w:val="001F218F"/>
    <w:rsid w:val="001F3662"/>
    <w:rsid w:val="001F529E"/>
    <w:rsid w:val="00200687"/>
    <w:rsid w:val="00202B33"/>
    <w:rsid w:val="002076F5"/>
    <w:rsid w:val="00207811"/>
    <w:rsid w:val="00207CCB"/>
    <w:rsid w:val="0021019E"/>
    <w:rsid w:val="002103C2"/>
    <w:rsid w:val="00211768"/>
    <w:rsid w:val="002135EE"/>
    <w:rsid w:val="0021552B"/>
    <w:rsid w:val="00222F03"/>
    <w:rsid w:val="00223468"/>
    <w:rsid w:val="00223D08"/>
    <w:rsid w:val="00223E86"/>
    <w:rsid w:val="002261CE"/>
    <w:rsid w:val="00226736"/>
    <w:rsid w:val="002267A4"/>
    <w:rsid w:val="002277A5"/>
    <w:rsid w:val="002277EA"/>
    <w:rsid w:val="002302F0"/>
    <w:rsid w:val="00233D7A"/>
    <w:rsid w:val="00233F51"/>
    <w:rsid w:val="0023513D"/>
    <w:rsid w:val="00235294"/>
    <w:rsid w:val="00236705"/>
    <w:rsid w:val="00240D00"/>
    <w:rsid w:val="0024113D"/>
    <w:rsid w:val="0024213E"/>
    <w:rsid w:val="00245679"/>
    <w:rsid w:val="00250804"/>
    <w:rsid w:val="00251090"/>
    <w:rsid w:val="00251765"/>
    <w:rsid w:val="00253856"/>
    <w:rsid w:val="00254B90"/>
    <w:rsid w:val="00255729"/>
    <w:rsid w:val="00257A4F"/>
    <w:rsid w:val="002632CC"/>
    <w:rsid w:val="0026356A"/>
    <w:rsid w:val="0026487C"/>
    <w:rsid w:val="00264919"/>
    <w:rsid w:val="00265E12"/>
    <w:rsid w:val="0026622A"/>
    <w:rsid w:val="00273F40"/>
    <w:rsid w:val="00275BF8"/>
    <w:rsid w:val="002801EB"/>
    <w:rsid w:val="00280ED8"/>
    <w:rsid w:val="0028188E"/>
    <w:rsid w:val="002821AF"/>
    <w:rsid w:val="00282878"/>
    <w:rsid w:val="00282FE7"/>
    <w:rsid w:val="00283CF1"/>
    <w:rsid w:val="0028421B"/>
    <w:rsid w:val="0028433B"/>
    <w:rsid w:val="002846C6"/>
    <w:rsid w:val="002850E1"/>
    <w:rsid w:val="00285B5E"/>
    <w:rsid w:val="00291A17"/>
    <w:rsid w:val="00294B24"/>
    <w:rsid w:val="002964B4"/>
    <w:rsid w:val="00297B67"/>
    <w:rsid w:val="002A0974"/>
    <w:rsid w:val="002A1EBF"/>
    <w:rsid w:val="002A22F6"/>
    <w:rsid w:val="002A40E7"/>
    <w:rsid w:val="002A5D8A"/>
    <w:rsid w:val="002A60D7"/>
    <w:rsid w:val="002A6D61"/>
    <w:rsid w:val="002B2268"/>
    <w:rsid w:val="002B279B"/>
    <w:rsid w:val="002B3293"/>
    <w:rsid w:val="002B3E0B"/>
    <w:rsid w:val="002C1320"/>
    <w:rsid w:val="002D6A9C"/>
    <w:rsid w:val="002D7238"/>
    <w:rsid w:val="002E0F95"/>
    <w:rsid w:val="002E2E8B"/>
    <w:rsid w:val="002E56F5"/>
    <w:rsid w:val="002E624B"/>
    <w:rsid w:val="002E661C"/>
    <w:rsid w:val="002E721C"/>
    <w:rsid w:val="002F0A0B"/>
    <w:rsid w:val="002F4ECB"/>
    <w:rsid w:val="00300B7A"/>
    <w:rsid w:val="00302035"/>
    <w:rsid w:val="0030287B"/>
    <w:rsid w:val="003045AF"/>
    <w:rsid w:val="00306A8D"/>
    <w:rsid w:val="00307F83"/>
    <w:rsid w:val="00314188"/>
    <w:rsid w:val="0031577A"/>
    <w:rsid w:val="003165D4"/>
    <w:rsid w:val="003168E9"/>
    <w:rsid w:val="00316B07"/>
    <w:rsid w:val="003212A1"/>
    <w:rsid w:val="003241C5"/>
    <w:rsid w:val="00324625"/>
    <w:rsid w:val="0032713F"/>
    <w:rsid w:val="00331106"/>
    <w:rsid w:val="00331E8B"/>
    <w:rsid w:val="00334556"/>
    <w:rsid w:val="00341C21"/>
    <w:rsid w:val="00341D9E"/>
    <w:rsid w:val="003463DE"/>
    <w:rsid w:val="003502C9"/>
    <w:rsid w:val="00350E10"/>
    <w:rsid w:val="003511EC"/>
    <w:rsid w:val="00352D38"/>
    <w:rsid w:val="00353A03"/>
    <w:rsid w:val="00355C51"/>
    <w:rsid w:val="0035648B"/>
    <w:rsid w:val="0036016D"/>
    <w:rsid w:val="00360E3F"/>
    <w:rsid w:val="00361B76"/>
    <w:rsid w:val="00363BAB"/>
    <w:rsid w:val="00365601"/>
    <w:rsid w:val="00366614"/>
    <w:rsid w:val="00367AA2"/>
    <w:rsid w:val="003706C5"/>
    <w:rsid w:val="00374C9A"/>
    <w:rsid w:val="00380EE3"/>
    <w:rsid w:val="00381411"/>
    <w:rsid w:val="00382C74"/>
    <w:rsid w:val="003864AC"/>
    <w:rsid w:val="00386679"/>
    <w:rsid w:val="00390D74"/>
    <w:rsid w:val="00391449"/>
    <w:rsid w:val="00397865"/>
    <w:rsid w:val="003A0B21"/>
    <w:rsid w:val="003A2225"/>
    <w:rsid w:val="003A2248"/>
    <w:rsid w:val="003A2DC5"/>
    <w:rsid w:val="003A3AD1"/>
    <w:rsid w:val="003A62C7"/>
    <w:rsid w:val="003A667F"/>
    <w:rsid w:val="003B17C6"/>
    <w:rsid w:val="003B2260"/>
    <w:rsid w:val="003B4ACB"/>
    <w:rsid w:val="003B6DE2"/>
    <w:rsid w:val="003C4E28"/>
    <w:rsid w:val="003D05C8"/>
    <w:rsid w:val="003D11D0"/>
    <w:rsid w:val="003D2774"/>
    <w:rsid w:val="003D51AA"/>
    <w:rsid w:val="003D7B56"/>
    <w:rsid w:val="003D7BE1"/>
    <w:rsid w:val="003E079D"/>
    <w:rsid w:val="003E1AB8"/>
    <w:rsid w:val="003E1F6A"/>
    <w:rsid w:val="003E2138"/>
    <w:rsid w:val="003E2744"/>
    <w:rsid w:val="003E338E"/>
    <w:rsid w:val="003E3C33"/>
    <w:rsid w:val="003E3C68"/>
    <w:rsid w:val="003E435B"/>
    <w:rsid w:val="003E47B1"/>
    <w:rsid w:val="003E5D57"/>
    <w:rsid w:val="003F2F3A"/>
    <w:rsid w:val="003F34B5"/>
    <w:rsid w:val="003F4D52"/>
    <w:rsid w:val="003F592B"/>
    <w:rsid w:val="00400172"/>
    <w:rsid w:val="00401DBB"/>
    <w:rsid w:val="0040349D"/>
    <w:rsid w:val="00404564"/>
    <w:rsid w:val="00405B36"/>
    <w:rsid w:val="00406B7C"/>
    <w:rsid w:val="00407C6E"/>
    <w:rsid w:val="00410796"/>
    <w:rsid w:val="00410F1A"/>
    <w:rsid w:val="00411DC8"/>
    <w:rsid w:val="0041648B"/>
    <w:rsid w:val="0042066A"/>
    <w:rsid w:val="00422B94"/>
    <w:rsid w:val="00422FBE"/>
    <w:rsid w:val="00423D66"/>
    <w:rsid w:val="00426434"/>
    <w:rsid w:val="00431BD5"/>
    <w:rsid w:val="00433477"/>
    <w:rsid w:val="0043486E"/>
    <w:rsid w:val="004350B6"/>
    <w:rsid w:val="0043682D"/>
    <w:rsid w:val="00437181"/>
    <w:rsid w:val="00440307"/>
    <w:rsid w:val="00440428"/>
    <w:rsid w:val="00440756"/>
    <w:rsid w:val="004458AC"/>
    <w:rsid w:val="00445A94"/>
    <w:rsid w:val="00446A3B"/>
    <w:rsid w:val="00447389"/>
    <w:rsid w:val="00450594"/>
    <w:rsid w:val="00452D2D"/>
    <w:rsid w:val="00453A29"/>
    <w:rsid w:val="00454405"/>
    <w:rsid w:val="004551A9"/>
    <w:rsid w:val="00455CD5"/>
    <w:rsid w:val="00455EA7"/>
    <w:rsid w:val="004570EA"/>
    <w:rsid w:val="00457401"/>
    <w:rsid w:val="00460FF3"/>
    <w:rsid w:val="0046342F"/>
    <w:rsid w:val="00467031"/>
    <w:rsid w:val="004679C9"/>
    <w:rsid w:val="004726E8"/>
    <w:rsid w:val="00475F43"/>
    <w:rsid w:val="0047610F"/>
    <w:rsid w:val="004771DF"/>
    <w:rsid w:val="0047770F"/>
    <w:rsid w:val="00477B46"/>
    <w:rsid w:val="00477DAC"/>
    <w:rsid w:val="0048244A"/>
    <w:rsid w:val="00483256"/>
    <w:rsid w:val="00485D20"/>
    <w:rsid w:val="00486A9D"/>
    <w:rsid w:val="00486DC2"/>
    <w:rsid w:val="0048716B"/>
    <w:rsid w:val="004904F2"/>
    <w:rsid w:val="004949C1"/>
    <w:rsid w:val="00494B0B"/>
    <w:rsid w:val="00495DCD"/>
    <w:rsid w:val="0049782C"/>
    <w:rsid w:val="004A0157"/>
    <w:rsid w:val="004A0E44"/>
    <w:rsid w:val="004A3049"/>
    <w:rsid w:val="004A4873"/>
    <w:rsid w:val="004A621E"/>
    <w:rsid w:val="004A62CF"/>
    <w:rsid w:val="004A77D5"/>
    <w:rsid w:val="004B0C81"/>
    <w:rsid w:val="004B24AE"/>
    <w:rsid w:val="004B32E1"/>
    <w:rsid w:val="004B3867"/>
    <w:rsid w:val="004B73DE"/>
    <w:rsid w:val="004C2DA9"/>
    <w:rsid w:val="004C2E0F"/>
    <w:rsid w:val="004C43CA"/>
    <w:rsid w:val="004C4CCD"/>
    <w:rsid w:val="004C5C32"/>
    <w:rsid w:val="004D001A"/>
    <w:rsid w:val="004D1E16"/>
    <w:rsid w:val="004D2332"/>
    <w:rsid w:val="004D4795"/>
    <w:rsid w:val="004D5AC9"/>
    <w:rsid w:val="004D7E06"/>
    <w:rsid w:val="004E1396"/>
    <w:rsid w:val="004E13F3"/>
    <w:rsid w:val="004E2138"/>
    <w:rsid w:val="004E2142"/>
    <w:rsid w:val="004E3630"/>
    <w:rsid w:val="004E58D1"/>
    <w:rsid w:val="004E69C6"/>
    <w:rsid w:val="004F0D8E"/>
    <w:rsid w:val="004F1297"/>
    <w:rsid w:val="004F60CC"/>
    <w:rsid w:val="00500092"/>
    <w:rsid w:val="00502587"/>
    <w:rsid w:val="005039A0"/>
    <w:rsid w:val="00507C49"/>
    <w:rsid w:val="00507D2F"/>
    <w:rsid w:val="00512D64"/>
    <w:rsid w:val="005161E5"/>
    <w:rsid w:val="0052011C"/>
    <w:rsid w:val="005224BA"/>
    <w:rsid w:val="00522907"/>
    <w:rsid w:val="00523DA4"/>
    <w:rsid w:val="0052451A"/>
    <w:rsid w:val="00524BCC"/>
    <w:rsid w:val="0052635A"/>
    <w:rsid w:val="00527C9F"/>
    <w:rsid w:val="00534179"/>
    <w:rsid w:val="00534D42"/>
    <w:rsid w:val="005355A5"/>
    <w:rsid w:val="00535AF7"/>
    <w:rsid w:val="005375B2"/>
    <w:rsid w:val="00540B39"/>
    <w:rsid w:val="00546DC9"/>
    <w:rsid w:val="00550F18"/>
    <w:rsid w:val="005513C5"/>
    <w:rsid w:val="0055143F"/>
    <w:rsid w:val="00552F07"/>
    <w:rsid w:val="0055302E"/>
    <w:rsid w:val="00554ECC"/>
    <w:rsid w:val="005554E1"/>
    <w:rsid w:val="00555AAC"/>
    <w:rsid w:val="005571B8"/>
    <w:rsid w:val="00560E8C"/>
    <w:rsid w:val="00561FD1"/>
    <w:rsid w:val="0056731B"/>
    <w:rsid w:val="0057014D"/>
    <w:rsid w:val="005731D3"/>
    <w:rsid w:val="00573DFC"/>
    <w:rsid w:val="00575515"/>
    <w:rsid w:val="00576688"/>
    <w:rsid w:val="00580C31"/>
    <w:rsid w:val="00582DA3"/>
    <w:rsid w:val="00585ED9"/>
    <w:rsid w:val="00586E0E"/>
    <w:rsid w:val="00591C16"/>
    <w:rsid w:val="005975CE"/>
    <w:rsid w:val="005A0085"/>
    <w:rsid w:val="005A05CB"/>
    <w:rsid w:val="005A4A72"/>
    <w:rsid w:val="005A514E"/>
    <w:rsid w:val="005B18B2"/>
    <w:rsid w:val="005B4125"/>
    <w:rsid w:val="005B5FD4"/>
    <w:rsid w:val="005C3A97"/>
    <w:rsid w:val="005C6E2F"/>
    <w:rsid w:val="005C7D58"/>
    <w:rsid w:val="005D1BE5"/>
    <w:rsid w:val="005D6822"/>
    <w:rsid w:val="005D6CE7"/>
    <w:rsid w:val="005E01CA"/>
    <w:rsid w:val="005E065D"/>
    <w:rsid w:val="005E1646"/>
    <w:rsid w:val="005E780A"/>
    <w:rsid w:val="006005A7"/>
    <w:rsid w:val="0060112D"/>
    <w:rsid w:val="006011E3"/>
    <w:rsid w:val="006014A3"/>
    <w:rsid w:val="0060276F"/>
    <w:rsid w:val="0060382F"/>
    <w:rsid w:val="006041FE"/>
    <w:rsid w:val="00604C99"/>
    <w:rsid w:val="00605EE0"/>
    <w:rsid w:val="0060782A"/>
    <w:rsid w:val="00607F19"/>
    <w:rsid w:val="0061020D"/>
    <w:rsid w:val="0061167E"/>
    <w:rsid w:val="00611695"/>
    <w:rsid w:val="00612EC1"/>
    <w:rsid w:val="006130BC"/>
    <w:rsid w:val="00614C73"/>
    <w:rsid w:val="00615FFC"/>
    <w:rsid w:val="006162FE"/>
    <w:rsid w:val="006164D9"/>
    <w:rsid w:val="00616A77"/>
    <w:rsid w:val="0061729E"/>
    <w:rsid w:val="00617791"/>
    <w:rsid w:val="00617B2F"/>
    <w:rsid w:val="006222EF"/>
    <w:rsid w:val="00623AB1"/>
    <w:rsid w:val="00623CD7"/>
    <w:rsid w:val="006246FD"/>
    <w:rsid w:val="006258F9"/>
    <w:rsid w:val="006264EB"/>
    <w:rsid w:val="0063066A"/>
    <w:rsid w:val="00630835"/>
    <w:rsid w:val="00634E22"/>
    <w:rsid w:val="00635A4D"/>
    <w:rsid w:val="00636148"/>
    <w:rsid w:val="0064006B"/>
    <w:rsid w:val="006436C2"/>
    <w:rsid w:val="006508F2"/>
    <w:rsid w:val="006547F3"/>
    <w:rsid w:val="00654BC3"/>
    <w:rsid w:val="00654CAF"/>
    <w:rsid w:val="006551D2"/>
    <w:rsid w:val="00657337"/>
    <w:rsid w:val="0066139C"/>
    <w:rsid w:val="00663CDB"/>
    <w:rsid w:val="0066426A"/>
    <w:rsid w:val="00664576"/>
    <w:rsid w:val="00664693"/>
    <w:rsid w:val="006671EA"/>
    <w:rsid w:val="006678BE"/>
    <w:rsid w:val="00667D7B"/>
    <w:rsid w:val="00675E84"/>
    <w:rsid w:val="00676353"/>
    <w:rsid w:val="0068317F"/>
    <w:rsid w:val="0068664A"/>
    <w:rsid w:val="006866E5"/>
    <w:rsid w:val="00690CA2"/>
    <w:rsid w:val="006925DC"/>
    <w:rsid w:val="00693CA0"/>
    <w:rsid w:val="00694C71"/>
    <w:rsid w:val="00695101"/>
    <w:rsid w:val="00696224"/>
    <w:rsid w:val="006969F8"/>
    <w:rsid w:val="006A2662"/>
    <w:rsid w:val="006A47E3"/>
    <w:rsid w:val="006A481C"/>
    <w:rsid w:val="006A4B4E"/>
    <w:rsid w:val="006A4CDF"/>
    <w:rsid w:val="006A5DBE"/>
    <w:rsid w:val="006B5449"/>
    <w:rsid w:val="006B68CF"/>
    <w:rsid w:val="006B7F17"/>
    <w:rsid w:val="006C01F1"/>
    <w:rsid w:val="006C253D"/>
    <w:rsid w:val="006C31A0"/>
    <w:rsid w:val="006C35CD"/>
    <w:rsid w:val="006C6360"/>
    <w:rsid w:val="006C70D7"/>
    <w:rsid w:val="006C7AD4"/>
    <w:rsid w:val="006C7FC5"/>
    <w:rsid w:val="006D397D"/>
    <w:rsid w:val="006E0638"/>
    <w:rsid w:val="006E1318"/>
    <w:rsid w:val="006E16AA"/>
    <w:rsid w:val="006E684E"/>
    <w:rsid w:val="006F0A8E"/>
    <w:rsid w:val="006F4660"/>
    <w:rsid w:val="006F4DCB"/>
    <w:rsid w:val="006F659F"/>
    <w:rsid w:val="006F75A3"/>
    <w:rsid w:val="00700246"/>
    <w:rsid w:val="0070063C"/>
    <w:rsid w:val="00701B06"/>
    <w:rsid w:val="00705911"/>
    <w:rsid w:val="0070702C"/>
    <w:rsid w:val="007107C0"/>
    <w:rsid w:val="00711992"/>
    <w:rsid w:val="00711E5F"/>
    <w:rsid w:val="00715231"/>
    <w:rsid w:val="00716B85"/>
    <w:rsid w:val="00721EF9"/>
    <w:rsid w:val="00723068"/>
    <w:rsid w:val="007230CB"/>
    <w:rsid w:val="007242D2"/>
    <w:rsid w:val="007256DD"/>
    <w:rsid w:val="00726A8B"/>
    <w:rsid w:val="00726C01"/>
    <w:rsid w:val="00732860"/>
    <w:rsid w:val="00734DF7"/>
    <w:rsid w:val="00735850"/>
    <w:rsid w:val="00735B92"/>
    <w:rsid w:val="007369E2"/>
    <w:rsid w:val="00741CCC"/>
    <w:rsid w:val="00742406"/>
    <w:rsid w:val="00742FE8"/>
    <w:rsid w:val="00743C7C"/>
    <w:rsid w:val="00747C77"/>
    <w:rsid w:val="00751BB3"/>
    <w:rsid w:val="00751E11"/>
    <w:rsid w:val="00752F94"/>
    <w:rsid w:val="00752FAB"/>
    <w:rsid w:val="00754F87"/>
    <w:rsid w:val="0075767E"/>
    <w:rsid w:val="007616CF"/>
    <w:rsid w:val="0076233D"/>
    <w:rsid w:val="00766F19"/>
    <w:rsid w:val="0076745F"/>
    <w:rsid w:val="00772EA4"/>
    <w:rsid w:val="00773D5E"/>
    <w:rsid w:val="0077712A"/>
    <w:rsid w:val="0078004C"/>
    <w:rsid w:val="00781D49"/>
    <w:rsid w:val="0078488E"/>
    <w:rsid w:val="00790814"/>
    <w:rsid w:val="00790A17"/>
    <w:rsid w:val="007915D4"/>
    <w:rsid w:val="007918A4"/>
    <w:rsid w:val="00794045"/>
    <w:rsid w:val="0079677E"/>
    <w:rsid w:val="007A2EE5"/>
    <w:rsid w:val="007A56D2"/>
    <w:rsid w:val="007B0499"/>
    <w:rsid w:val="007B136B"/>
    <w:rsid w:val="007B3DA9"/>
    <w:rsid w:val="007B4217"/>
    <w:rsid w:val="007B65CD"/>
    <w:rsid w:val="007B6A01"/>
    <w:rsid w:val="007C0481"/>
    <w:rsid w:val="007C2A38"/>
    <w:rsid w:val="007C2ED5"/>
    <w:rsid w:val="007C31DA"/>
    <w:rsid w:val="007C4B1B"/>
    <w:rsid w:val="007D75B7"/>
    <w:rsid w:val="007D76E8"/>
    <w:rsid w:val="007D7953"/>
    <w:rsid w:val="007E1015"/>
    <w:rsid w:val="007E14EB"/>
    <w:rsid w:val="007E3FE8"/>
    <w:rsid w:val="007E4B91"/>
    <w:rsid w:val="007F024A"/>
    <w:rsid w:val="007F21E0"/>
    <w:rsid w:val="007F2BB6"/>
    <w:rsid w:val="007F7912"/>
    <w:rsid w:val="007F7C33"/>
    <w:rsid w:val="00800E0E"/>
    <w:rsid w:val="00803A1E"/>
    <w:rsid w:val="008108CA"/>
    <w:rsid w:val="00811D4C"/>
    <w:rsid w:val="008132D9"/>
    <w:rsid w:val="0082018B"/>
    <w:rsid w:val="00823670"/>
    <w:rsid w:val="00827464"/>
    <w:rsid w:val="00831824"/>
    <w:rsid w:val="00834C54"/>
    <w:rsid w:val="0083502A"/>
    <w:rsid w:val="008352E1"/>
    <w:rsid w:val="00840050"/>
    <w:rsid w:val="00841E64"/>
    <w:rsid w:val="00842006"/>
    <w:rsid w:val="00842C21"/>
    <w:rsid w:val="0084405D"/>
    <w:rsid w:val="008449BE"/>
    <w:rsid w:val="00844B71"/>
    <w:rsid w:val="00846789"/>
    <w:rsid w:val="008524F6"/>
    <w:rsid w:val="008526E7"/>
    <w:rsid w:val="008560AD"/>
    <w:rsid w:val="0086560E"/>
    <w:rsid w:val="00866B6C"/>
    <w:rsid w:val="008741BD"/>
    <w:rsid w:val="008742A7"/>
    <w:rsid w:val="00875FCC"/>
    <w:rsid w:val="008768DA"/>
    <w:rsid w:val="00880979"/>
    <w:rsid w:val="008809CB"/>
    <w:rsid w:val="00880C03"/>
    <w:rsid w:val="00881AE8"/>
    <w:rsid w:val="00881CCB"/>
    <w:rsid w:val="008838D0"/>
    <w:rsid w:val="00885141"/>
    <w:rsid w:val="00886869"/>
    <w:rsid w:val="00895A60"/>
    <w:rsid w:val="008973B1"/>
    <w:rsid w:val="008A16B2"/>
    <w:rsid w:val="008A1EEE"/>
    <w:rsid w:val="008A2729"/>
    <w:rsid w:val="008A304D"/>
    <w:rsid w:val="008A327E"/>
    <w:rsid w:val="008A3B54"/>
    <w:rsid w:val="008A49CF"/>
    <w:rsid w:val="008A593F"/>
    <w:rsid w:val="008A5AB7"/>
    <w:rsid w:val="008A6500"/>
    <w:rsid w:val="008B0297"/>
    <w:rsid w:val="008B0B25"/>
    <w:rsid w:val="008B128B"/>
    <w:rsid w:val="008B25BD"/>
    <w:rsid w:val="008B37AE"/>
    <w:rsid w:val="008B3B38"/>
    <w:rsid w:val="008B449B"/>
    <w:rsid w:val="008B531D"/>
    <w:rsid w:val="008B5BD1"/>
    <w:rsid w:val="008B60A6"/>
    <w:rsid w:val="008B6A32"/>
    <w:rsid w:val="008B6C9C"/>
    <w:rsid w:val="008B6F66"/>
    <w:rsid w:val="008C216D"/>
    <w:rsid w:val="008C4DC1"/>
    <w:rsid w:val="008C63F3"/>
    <w:rsid w:val="008D0750"/>
    <w:rsid w:val="008D42C4"/>
    <w:rsid w:val="008D6AD1"/>
    <w:rsid w:val="008D76D7"/>
    <w:rsid w:val="008E02E2"/>
    <w:rsid w:val="008E1A80"/>
    <w:rsid w:val="008E2CAA"/>
    <w:rsid w:val="008E3230"/>
    <w:rsid w:val="008E3D18"/>
    <w:rsid w:val="008F473B"/>
    <w:rsid w:val="008F5AE3"/>
    <w:rsid w:val="008F653C"/>
    <w:rsid w:val="009006FE"/>
    <w:rsid w:val="0090109C"/>
    <w:rsid w:val="009012D7"/>
    <w:rsid w:val="00903016"/>
    <w:rsid w:val="00903781"/>
    <w:rsid w:val="00906715"/>
    <w:rsid w:val="00910C51"/>
    <w:rsid w:val="009120A7"/>
    <w:rsid w:val="00914E3F"/>
    <w:rsid w:val="00922C16"/>
    <w:rsid w:val="00923866"/>
    <w:rsid w:val="00925EBC"/>
    <w:rsid w:val="009328C4"/>
    <w:rsid w:val="00933757"/>
    <w:rsid w:val="009351BC"/>
    <w:rsid w:val="009353F0"/>
    <w:rsid w:val="009357E9"/>
    <w:rsid w:val="00936DC0"/>
    <w:rsid w:val="00937C01"/>
    <w:rsid w:val="00942CEB"/>
    <w:rsid w:val="00944D15"/>
    <w:rsid w:val="009543D4"/>
    <w:rsid w:val="009552BC"/>
    <w:rsid w:val="009567AD"/>
    <w:rsid w:val="00960D91"/>
    <w:rsid w:val="00960EC5"/>
    <w:rsid w:val="009619AB"/>
    <w:rsid w:val="009626B8"/>
    <w:rsid w:val="00966E0C"/>
    <w:rsid w:val="00967517"/>
    <w:rsid w:val="00970184"/>
    <w:rsid w:val="0097100D"/>
    <w:rsid w:val="009754FF"/>
    <w:rsid w:val="00975803"/>
    <w:rsid w:val="00977A3A"/>
    <w:rsid w:val="009809A0"/>
    <w:rsid w:val="00980EA0"/>
    <w:rsid w:val="009814FD"/>
    <w:rsid w:val="009822FB"/>
    <w:rsid w:val="00982E1C"/>
    <w:rsid w:val="00983731"/>
    <w:rsid w:val="00983826"/>
    <w:rsid w:val="009857E9"/>
    <w:rsid w:val="00987A9B"/>
    <w:rsid w:val="00992E39"/>
    <w:rsid w:val="009942E4"/>
    <w:rsid w:val="0099434D"/>
    <w:rsid w:val="00996C47"/>
    <w:rsid w:val="00997580"/>
    <w:rsid w:val="009A0164"/>
    <w:rsid w:val="009A1992"/>
    <w:rsid w:val="009A434E"/>
    <w:rsid w:val="009A6D05"/>
    <w:rsid w:val="009B0A29"/>
    <w:rsid w:val="009B5165"/>
    <w:rsid w:val="009B5A4D"/>
    <w:rsid w:val="009B7C42"/>
    <w:rsid w:val="009B7F9B"/>
    <w:rsid w:val="009C0615"/>
    <w:rsid w:val="009C0661"/>
    <w:rsid w:val="009C1C4D"/>
    <w:rsid w:val="009C32EB"/>
    <w:rsid w:val="009C3C45"/>
    <w:rsid w:val="009D1258"/>
    <w:rsid w:val="009D4E5E"/>
    <w:rsid w:val="009D5096"/>
    <w:rsid w:val="009D535A"/>
    <w:rsid w:val="009D5521"/>
    <w:rsid w:val="009D5F5B"/>
    <w:rsid w:val="009E15AE"/>
    <w:rsid w:val="009E2277"/>
    <w:rsid w:val="009E5993"/>
    <w:rsid w:val="009E6D2B"/>
    <w:rsid w:val="009F1AF0"/>
    <w:rsid w:val="009F5995"/>
    <w:rsid w:val="009F5B2B"/>
    <w:rsid w:val="00A032A2"/>
    <w:rsid w:val="00A03913"/>
    <w:rsid w:val="00A04812"/>
    <w:rsid w:val="00A04F45"/>
    <w:rsid w:val="00A05B89"/>
    <w:rsid w:val="00A06441"/>
    <w:rsid w:val="00A069A8"/>
    <w:rsid w:val="00A11311"/>
    <w:rsid w:val="00A14003"/>
    <w:rsid w:val="00A14227"/>
    <w:rsid w:val="00A154F5"/>
    <w:rsid w:val="00A17D72"/>
    <w:rsid w:val="00A2035F"/>
    <w:rsid w:val="00A20BF4"/>
    <w:rsid w:val="00A22342"/>
    <w:rsid w:val="00A23A98"/>
    <w:rsid w:val="00A23B86"/>
    <w:rsid w:val="00A24542"/>
    <w:rsid w:val="00A27A16"/>
    <w:rsid w:val="00A30902"/>
    <w:rsid w:val="00A30F5B"/>
    <w:rsid w:val="00A32DED"/>
    <w:rsid w:val="00A33396"/>
    <w:rsid w:val="00A368FB"/>
    <w:rsid w:val="00A36B90"/>
    <w:rsid w:val="00A37F82"/>
    <w:rsid w:val="00A40ACA"/>
    <w:rsid w:val="00A419CF"/>
    <w:rsid w:val="00A432CE"/>
    <w:rsid w:val="00A43EC5"/>
    <w:rsid w:val="00A46AD0"/>
    <w:rsid w:val="00A46DDE"/>
    <w:rsid w:val="00A471F4"/>
    <w:rsid w:val="00A50333"/>
    <w:rsid w:val="00A518B6"/>
    <w:rsid w:val="00A5412D"/>
    <w:rsid w:val="00A5420F"/>
    <w:rsid w:val="00A55FE0"/>
    <w:rsid w:val="00A634E0"/>
    <w:rsid w:val="00A67624"/>
    <w:rsid w:val="00A67E55"/>
    <w:rsid w:val="00A70FC5"/>
    <w:rsid w:val="00A71A57"/>
    <w:rsid w:val="00A75049"/>
    <w:rsid w:val="00A75BD0"/>
    <w:rsid w:val="00A76640"/>
    <w:rsid w:val="00A77A19"/>
    <w:rsid w:val="00A80886"/>
    <w:rsid w:val="00A80B06"/>
    <w:rsid w:val="00A80ECC"/>
    <w:rsid w:val="00A82090"/>
    <w:rsid w:val="00A82F70"/>
    <w:rsid w:val="00A856C9"/>
    <w:rsid w:val="00A85855"/>
    <w:rsid w:val="00A90511"/>
    <w:rsid w:val="00A92580"/>
    <w:rsid w:val="00A939FB"/>
    <w:rsid w:val="00AA0DAC"/>
    <w:rsid w:val="00AA1634"/>
    <w:rsid w:val="00AA2414"/>
    <w:rsid w:val="00AA2A05"/>
    <w:rsid w:val="00AA4038"/>
    <w:rsid w:val="00AA4299"/>
    <w:rsid w:val="00AA636A"/>
    <w:rsid w:val="00AA644B"/>
    <w:rsid w:val="00AA6AD5"/>
    <w:rsid w:val="00AB0B72"/>
    <w:rsid w:val="00AB0F7A"/>
    <w:rsid w:val="00AB3884"/>
    <w:rsid w:val="00AB67F2"/>
    <w:rsid w:val="00AB7E20"/>
    <w:rsid w:val="00AC3DD5"/>
    <w:rsid w:val="00AC50D2"/>
    <w:rsid w:val="00AC713A"/>
    <w:rsid w:val="00AD0D51"/>
    <w:rsid w:val="00AD14FE"/>
    <w:rsid w:val="00AD18E7"/>
    <w:rsid w:val="00AD2D0F"/>
    <w:rsid w:val="00AD34E8"/>
    <w:rsid w:val="00AD7B2D"/>
    <w:rsid w:val="00AD7DA9"/>
    <w:rsid w:val="00AE10F6"/>
    <w:rsid w:val="00AE34FB"/>
    <w:rsid w:val="00AE514E"/>
    <w:rsid w:val="00AE5A22"/>
    <w:rsid w:val="00AE7059"/>
    <w:rsid w:val="00AE73F8"/>
    <w:rsid w:val="00AF0C28"/>
    <w:rsid w:val="00AF1669"/>
    <w:rsid w:val="00AF6120"/>
    <w:rsid w:val="00B00C19"/>
    <w:rsid w:val="00B014A8"/>
    <w:rsid w:val="00B01B8B"/>
    <w:rsid w:val="00B03FD8"/>
    <w:rsid w:val="00B042A0"/>
    <w:rsid w:val="00B048A5"/>
    <w:rsid w:val="00B05453"/>
    <w:rsid w:val="00B133BC"/>
    <w:rsid w:val="00B155E8"/>
    <w:rsid w:val="00B16705"/>
    <w:rsid w:val="00B177C5"/>
    <w:rsid w:val="00B21E4A"/>
    <w:rsid w:val="00B24B9E"/>
    <w:rsid w:val="00B2537D"/>
    <w:rsid w:val="00B26475"/>
    <w:rsid w:val="00B264E9"/>
    <w:rsid w:val="00B324A8"/>
    <w:rsid w:val="00B41007"/>
    <w:rsid w:val="00B413D8"/>
    <w:rsid w:val="00B416E5"/>
    <w:rsid w:val="00B42A16"/>
    <w:rsid w:val="00B4321A"/>
    <w:rsid w:val="00B45929"/>
    <w:rsid w:val="00B45AA4"/>
    <w:rsid w:val="00B45F28"/>
    <w:rsid w:val="00B46109"/>
    <w:rsid w:val="00B5315E"/>
    <w:rsid w:val="00B54BFA"/>
    <w:rsid w:val="00B54E15"/>
    <w:rsid w:val="00B54E4B"/>
    <w:rsid w:val="00B558E4"/>
    <w:rsid w:val="00B601FB"/>
    <w:rsid w:val="00B60A15"/>
    <w:rsid w:val="00B62FFE"/>
    <w:rsid w:val="00B653D2"/>
    <w:rsid w:val="00B7375E"/>
    <w:rsid w:val="00B73C60"/>
    <w:rsid w:val="00B775B6"/>
    <w:rsid w:val="00B779E2"/>
    <w:rsid w:val="00B80483"/>
    <w:rsid w:val="00B85732"/>
    <w:rsid w:val="00B85ECC"/>
    <w:rsid w:val="00B9205F"/>
    <w:rsid w:val="00B92F68"/>
    <w:rsid w:val="00B94049"/>
    <w:rsid w:val="00B943B4"/>
    <w:rsid w:val="00B945E0"/>
    <w:rsid w:val="00B956DB"/>
    <w:rsid w:val="00BA266B"/>
    <w:rsid w:val="00BA2993"/>
    <w:rsid w:val="00BA4809"/>
    <w:rsid w:val="00BA4B75"/>
    <w:rsid w:val="00BA4BBB"/>
    <w:rsid w:val="00BA4F35"/>
    <w:rsid w:val="00BA553E"/>
    <w:rsid w:val="00BA64FC"/>
    <w:rsid w:val="00BB01A0"/>
    <w:rsid w:val="00BB31D0"/>
    <w:rsid w:val="00BC20FF"/>
    <w:rsid w:val="00BC3CBC"/>
    <w:rsid w:val="00BC512A"/>
    <w:rsid w:val="00BC63DE"/>
    <w:rsid w:val="00BC6D3D"/>
    <w:rsid w:val="00BD1DB2"/>
    <w:rsid w:val="00BD426B"/>
    <w:rsid w:val="00BD5E9F"/>
    <w:rsid w:val="00BD621A"/>
    <w:rsid w:val="00BD77D8"/>
    <w:rsid w:val="00BE279F"/>
    <w:rsid w:val="00BE62FA"/>
    <w:rsid w:val="00BE637E"/>
    <w:rsid w:val="00BE6B5E"/>
    <w:rsid w:val="00BF1B78"/>
    <w:rsid w:val="00BF1F87"/>
    <w:rsid w:val="00BF4195"/>
    <w:rsid w:val="00BF74A3"/>
    <w:rsid w:val="00C00799"/>
    <w:rsid w:val="00C03C96"/>
    <w:rsid w:val="00C05A3C"/>
    <w:rsid w:val="00C07969"/>
    <w:rsid w:val="00C123FB"/>
    <w:rsid w:val="00C13281"/>
    <w:rsid w:val="00C13A35"/>
    <w:rsid w:val="00C15068"/>
    <w:rsid w:val="00C16E1E"/>
    <w:rsid w:val="00C22328"/>
    <w:rsid w:val="00C25D53"/>
    <w:rsid w:val="00C25F23"/>
    <w:rsid w:val="00C25F80"/>
    <w:rsid w:val="00C26C03"/>
    <w:rsid w:val="00C310E2"/>
    <w:rsid w:val="00C31B23"/>
    <w:rsid w:val="00C31DA6"/>
    <w:rsid w:val="00C36468"/>
    <w:rsid w:val="00C37675"/>
    <w:rsid w:val="00C429DF"/>
    <w:rsid w:val="00C43E9E"/>
    <w:rsid w:val="00C45C91"/>
    <w:rsid w:val="00C50219"/>
    <w:rsid w:val="00C51DB0"/>
    <w:rsid w:val="00C52B95"/>
    <w:rsid w:val="00C5472D"/>
    <w:rsid w:val="00C56136"/>
    <w:rsid w:val="00C57EEF"/>
    <w:rsid w:val="00C6263D"/>
    <w:rsid w:val="00C62C51"/>
    <w:rsid w:val="00C65AB6"/>
    <w:rsid w:val="00C70180"/>
    <w:rsid w:val="00C71BE5"/>
    <w:rsid w:val="00C71E3E"/>
    <w:rsid w:val="00C72484"/>
    <w:rsid w:val="00C72BD7"/>
    <w:rsid w:val="00C74065"/>
    <w:rsid w:val="00C80B23"/>
    <w:rsid w:val="00C81288"/>
    <w:rsid w:val="00C84EB0"/>
    <w:rsid w:val="00C87F8D"/>
    <w:rsid w:val="00C91394"/>
    <w:rsid w:val="00C91F68"/>
    <w:rsid w:val="00C926B3"/>
    <w:rsid w:val="00C92B40"/>
    <w:rsid w:val="00C93183"/>
    <w:rsid w:val="00C945E5"/>
    <w:rsid w:val="00C955A2"/>
    <w:rsid w:val="00C95EBC"/>
    <w:rsid w:val="00C9626D"/>
    <w:rsid w:val="00C96D0F"/>
    <w:rsid w:val="00C9705A"/>
    <w:rsid w:val="00C97696"/>
    <w:rsid w:val="00CA0233"/>
    <w:rsid w:val="00CA184E"/>
    <w:rsid w:val="00CA3D59"/>
    <w:rsid w:val="00CA4AB9"/>
    <w:rsid w:val="00CA4D45"/>
    <w:rsid w:val="00CA4EE7"/>
    <w:rsid w:val="00CA6BF6"/>
    <w:rsid w:val="00CB037C"/>
    <w:rsid w:val="00CB23BB"/>
    <w:rsid w:val="00CB458F"/>
    <w:rsid w:val="00CC368B"/>
    <w:rsid w:val="00CC5D0B"/>
    <w:rsid w:val="00CD102F"/>
    <w:rsid w:val="00CD456C"/>
    <w:rsid w:val="00CD50D0"/>
    <w:rsid w:val="00CD5D43"/>
    <w:rsid w:val="00CD72DA"/>
    <w:rsid w:val="00CE04A6"/>
    <w:rsid w:val="00CE1462"/>
    <w:rsid w:val="00CE2894"/>
    <w:rsid w:val="00CE3058"/>
    <w:rsid w:val="00CE4281"/>
    <w:rsid w:val="00CE43AE"/>
    <w:rsid w:val="00CE538A"/>
    <w:rsid w:val="00CE6B37"/>
    <w:rsid w:val="00CF03C1"/>
    <w:rsid w:val="00CF096F"/>
    <w:rsid w:val="00CF594C"/>
    <w:rsid w:val="00CF6918"/>
    <w:rsid w:val="00D010AC"/>
    <w:rsid w:val="00D03368"/>
    <w:rsid w:val="00D03DA0"/>
    <w:rsid w:val="00D05374"/>
    <w:rsid w:val="00D1128B"/>
    <w:rsid w:val="00D13844"/>
    <w:rsid w:val="00D1647C"/>
    <w:rsid w:val="00D16BDA"/>
    <w:rsid w:val="00D17F3A"/>
    <w:rsid w:val="00D2053C"/>
    <w:rsid w:val="00D21284"/>
    <w:rsid w:val="00D21301"/>
    <w:rsid w:val="00D22F44"/>
    <w:rsid w:val="00D24FF8"/>
    <w:rsid w:val="00D30AEE"/>
    <w:rsid w:val="00D31227"/>
    <w:rsid w:val="00D32DED"/>
    <w:rsid w:val="00D33435"/>
    <w:rsid w:val="00D40F14"/>
    <w:rsid w:val="00D4134D"/>
    <w:rsid w:val="00D413EC"/>
    <w:rsid w:val="00D42058"/>
    <w:rsid w:val="00D45706"/>
    <w:rsid w:val="00D5142C"/>
    <w:rsid w:val="00D528DC"/>
    <w:rsid w:val="00D60E93"/>
    <w:rsid w:val="00D6105E"/>
    <w:rsid w:val="00D64BB0"/>
    <w:rsid w:val="00D709A8"/>
    <w:rsid w:val="00D70C12"/>
    <w:rsid w:val="00D726E6"/>
    <w:rsid w:val="00D77778"/>
    <w:rsid w:val="00D80238"/>
    <w:rsid w:val="00D80638"/>
    <w:rsid w:val="00D810C3"/>
    <w:rsid w:val="00D8208F"/>
    <w:rsid w:val="00D82477"/>
    <w:rsid w:val="00D82486"/>
    <w:rsid w:val="00D82DF7"/>
    <w:rsid w:val="00D93541"/>
    <w:rsid w:val="00D93EEA"/>
    <w:rsid w:val="00D94DED"/>
    <w:rsid w:val="00D95BB3"/>
    <w:rsid w:val="00D97F32"/>
    <w:rsid w:val="00DA4A64"/>
    <w:rsid w:val="00DA70A3"/>
    <w:rsid w:val="00DA7C95"/>
    <w:rsid w:val="00DB0980"/>
    <w:rsid w:val="00DB0D78"/>
    <w:rsid w:val="00DB1463"/>
    <w:rsid w:val="00DB14F7"/>
    <w:rsid w:val="00DB4262"/>
    <w:rsid w:val="00DB5F59"/>
    <w:rsid w:val="00DB7879"/>
    <w:rsid w:val="00DC0673"/>
    <w:rsid w:val="00DC1838"/>
    <w:rsid w:val="00DC23B1"/>
    <w:rsid w:val="00DC25D5"/>
    <w:rsid w:val="00DC2E7E"/>
    <w:rsid w:val="00DC5326"/>
    <w:rsid w:val="00DC6424"/>
    <w:rsid w:val="00DD116B"/>
    <w:rsid w:val="00DD3A0C"/>
    <w:rsid w:val="00DD458C"/>
    <w:rsid w:val="00DD515B"/>
    <w:rsid w:val="00DD5234"/>
    <w:rsid w:val="00DE077D"/>
    <w:rsid w:val="00DE1232"/>
    <w:rsid w:val="00DE1740"/>
    <w:rsid w:val="00DE381D"/>
    <w:rsid w:val="00DE46AC"/>
    <w:rsid w:val="00DE5061"/>
    <w:rsid w:val="00DE753D"/>
    <w:rsid w:val="00DE7E1D"/>
    <w:rsid w:val="00DF0BAA"/>
    <w:rsid w:val="00DF1105"/>
    <w:rsid w:val="00DF296A"/>
    <w:rsid w:val="00DF7360"/>
    <w:rsid w:val="00E00D9B"/>
    <w:rsid w:val="00E03E4B"/>
    <w:rsid w:val="00E05217"/>
    <w:rsid w:val="00E05C74"/>
    <w:rsid w:val="00E07A47"/>
    <w:rsid w:val="00E10D53"/>
    <w:rsid w:val="00E144D1"/>
    <w:rsid w:val="00E14827"/>
    <w:rsid w:val="00E16E27"/>
    <w:rsid w:val="00E1739F"/>
    <w:rsid w:val="00E22D65"/>
    <w:rsid w:val="00E22FEE"/>
    <w:rsid w:val="00E25059"/>
    <w:rsid w:val="00E25085"/>
    <w:rsid w:val="00E25D53"/>
    <w:rsid w:val="00E2639D"/>
    <w:rsid w:val="00E26514"/>
    <w:rsid w:val="00E272D1"/>
    <w:rsid w:val="00E31C8C"/>
    <w:rsid w:val="00E32806"/>
    <w:rsid w:val="00E37B1A"/>
    <w:rsid w:val="00E4505B"/>
    <w:rsid w:val="00E467E3"/>
    <w:rsid w:val="00E46C51"/>
    <w:rsid w:val="00E52EA7"/>
    <w:rsid w:val="00E537E3"/>
    <w:rsid w:val="00E53A57"/>
    <w:rsid w:val="00E53A6B"/>
    <w:rsid w:val="00E57668"/>
    <w:rsid w:val="00E609E9"/>
    <w:rsid w:val="00E6764F"/>
    <w:rsid w:val="00E718B5"/>
    <w:rsid w:val="00E73A1B"/>
    <w:rsid w:val="00E755CB"/>
    <w:rsid w:val="00E7694A"/>
    <w:rsid w:val="00E77091"/>
    <w:rsid w:val="00E8525C"/>
    <w:rsid w:val="00E8708E"/>
    <w:rsid w:val="00E879C9"/>
    <w:rsid w:val="00E87DAF"/>
    <w:rsid w:val="00E93548"/>
    <w:rsid w:val="00E935F1"/>
    <w:rsid w:val="00E9515A"/>
    <w:rsid w:val="00E957C3"/>
    <w:rsid w:val="00EA01BB"/>
    <w:rsid w:val="00EA0A1B"/>
    <w:rsid w:val="00EA31BE"/>
    <w:rsid w:val="00EA3481"/>
    <w:rsid w:val="00EA3E21"/>
    <w:rsid w:val="00EA61B4"/>
    <w:rsid w:val="00EB155B"/>
    <w:rsid w:val="00EB59FD"/>
    <w:rsid w:val="00EB6B83"/>
    <w:rsid w:val="00EB6DAF"/>
    <w:rsid w:val="00EB7A18"/>
    <w:rsid w:val="00EC05EB"/>
    <w:rsid w:val="00EC1EB9"/>
    <w:rsid w:val="00EC2811"/>
    <w:rsid w:val="00EC3093"/>
    <w:rsid w:val="00EC5314"/>
    <w:rsid w:val="00EC553C"/>
    <w:rsid w:val="00ED06FC"/>
    <w:rsid w:val="00ED1E56"/>
    <w:rsid w:val="00ED4C1C"/>
    <w:rsid w:val="00ED50C7"/>
    <w:rsid w:val="00EE55B1"/>
    <w:rsid w:val="00EE5C9D"/>
    <w:rsid w:val="00EF1B41"/>
    <w:rsid w:val="00EF2853"/>
    <w:rsid w:val="00EF6455"/>
    <w:rsid w:val="00F00147"/>
    <w:rsid w:val="00F02F34"/>
    <w:rsid w:val="00F03560"/>
    <w:rsid w:val="00F0771B"/>
    <w:rsid w:val="00F10039"/>
    <w:rsid w:val="00F1190F"/>
    <w:rsid w:val="00F13FA2"/>
    <w:rsid w:val="00F14805"/>
    <w:rsid w:val="00F1536F"/>
    <w:rsid w:val="00F15B04"/>
    <w:rsid w:val="00F276F6"/>
    <w:rsid w:val="00F3152A"/>
    <w:rsid w:val="00F3275F"/>
    <w:rsid w:val="00F37514"/>
    <w:rsid w:val="00F37537"/>
    <w:rsid w:val="00F40B85"/>
    <w:rsid w:val="00F42B2E"/>
    <w:rsid w:val="00F45379"/>
    <w:rsid w:val="00F45E4D"/>
    <w:rsid w:val="00F513D3"/>
    <w:rsid w:val="00F51896"/>
    <w:rsid w:val="00F52219"/>
    <w:rsid w:val="00F52B5A"/>
    <w:rsid w:val="00F5394C"/>
    <w:rsid w:val="00F60BDE"/>
    <w:rsid w:val="00F70B96"/>
    <w:rsid w:val="00F718C7"/>
    <w:rsid w:val="00F7454D"/>
    <w:rsid w:val="00F75A9B"/>
    <w:rsid w:val="00F80BE7"/>
    <w:rsid w:val="00F82AB3"/>
    <w:rsid w:val="00F83181"/>
    <w:rsid w:val="00F840F3"/>
    <w:rsid w:val="00F84D3F"/>
    <w:rsid w:val="00F91730"/>
    <w:rsid w:val="00F945B5"/>
    <w:rsid w:val="00F95720"/>
    <w:rsid w:val="00F97874"/>
    <w:rsid w:val="00FA3DE2"/>
    <w:rsid w:val="00FA4740"/>
    <w:rsid w:val="00FA54F6"/>
    <w:rsid w:val="00FA7A5D"/>
    <w:rsid w:val="00FB05EC"/>
    <w:rsid w:val="00FB3F16"/>
    <w:rsid w:val="00FB4FE4"/>
    <w:rsid w:val="00FB5689"/>
    <w:rsid w:val="00FB7542"/>
    <w:rsid w:val="00FB7DFE"/>
    <w:rsid w:val="00FC17BC"/>
    <w:rsid w:val="00FC1A24"/>
    <w:rsid w:val="00FD0791"/>
    <w:rsid w:val="00FD07E1"/>
    <w:rsid w:val="00FD080D"/>
    <w:rsid w:val="00FD0D71"/>
    <w:rsid w:val="00FD1230"/>
    <w:rsid w:val="00FD3E24"/>
    <w:rsid w:val="00FD5231"/>
    <w:rsid w:val="00FD6E29"/>
    <w:rsid w:val="00FE31D8"/>
    <w:rsid w:val="00FE74A3"/>
    <w:rsid w:val="00FE790E"/>
    <w:rsid w:val="00FE7CD3"/>
    <w:rsid w:val="00FF0AB1"/>
    <w:rsid w:val="00FF3D25"/>
    <w:rsid w:val="00FF4AC6"/>
    <w:rsid w:val="00FF5454"/>
    <w:rsid w:val="00FF7287"/>
    <w:rsid w:val="00FF7328"/>
    <w:rsid w:val="03996B21"/>
    <w:rsid w:val="039F1251"/>
    <w:rsid w:val="03C443AE"/>
    <w:rsid w:val="03C8178A"/>
    <w:rsid w:val="06325C5A"/>
    <w:rsid w:val="064F4E2C"/>
    <w:rsid w:val="088B2149"/>
    <w:rsid w:val="0A7D0CAC"/>
    <w:rsid w:val="0AA2515A"/>
    <w:rsid w:val="0CC36FBD"/>
    <w:rsid w:val="0DD17E80"/>
    <w:rsid w:val="0E733269"/>
    <w:rsid w:val="0EA32DA4"/>
    <w:rsid w:val="0EAE0DF3"/>
    <w:rsid w:val="0EB2479D"/>
    <w:rsid w:val="109E2D03"/>
    <w:rsid w:val="110E2A53"/>
    <w:rsid w:val="11215942"/>
    <w:rsid w:val="11EC37AB"/>
    <w:rsid w:val="13EC07C3"/>
    <w:rsid w:val="15C20514"/>
    <w:rsid w:val="165B13D5"/>
    <w:rsid w:val="166C24C2"/>
    <w:rsid w:val="17BA02FE"/>
    <w:rsid w:val="186B7E57"/>
    <w:rsid w:val="191C3807"/>
    <w:rsid w:val="1AD16B17"/>
    <w:rsid w:val="1BEA08B0"/>
    <w:rsid w:val="1DFB1664"/>
    <w:rsid w:val="1E2939D4"/>
    <w:rsid w:val="1E2B571B"/>
    <w:rsid w:val="1E6D24DB"/>
    <w:rsid w:val="1F296C72"/>
    <w:rsid w:val="239F47E9"/>
    <w:rsid w:val="24282CB5"/>
    <w:rsid w:val="24722F96"/>
    <w:rsid w:val="26930462"/>
    <w:rsid w:val="2B4B0D53"/>
    <w:rsid w:val="2B85301B"/>
    <w:rsid w:val="2C3A55B4"/>
    <w:rsid w:val="2C642F71"/>
    <w:rsid w:val="2C981C63"/>
    <w:rsid w:val="2D3D33FF"/>
    <w:rsid w:val="2DF81E7B"/>
    <w:rsid w:val="2E0F4D7B"/>
    <w:rsid w:val="2E346919"/>
    <w:rsid w:val="2E847FC5"/>
    <w:rsid w:val="2F022931"/>
    <w:rsid w:val="2F6501CE"/>
    <w:rsid w:val="31630162"/>
    <w:rsid w:val="32085830"/>
    <w:rsid w:val="3265796E"/>
    <w:rsid w:val="32DB5638"/>
    <w:rsid w:val="34DD3342"/>
    <w:rsid w:val="36B56E4F"/>
    <w:rsid w:val="37D4403D"/>
    <w:rsid w:val="38425FA6"/>
    <w:rsid w:val="38983FA8"/>
    <w:rsid w:val="38DF1835"/>
    <w:rsid w:val="39240A5F"/>
    <w:rsid w:val="3A0545B2"/>
    <w:rsid w:val="3B165061"/>
    <w:rsid w:val="3B4C71A5"/>
    <w:rsid w:val="3D0D622C"/>
    <w:rsid w:val="3E3E588C"/>
    <w:rsid w:val="3E8F4B09"/>
    <w:rsid w:val="41192C6E"/>
    <w:rsid w:val="41334821"/>
    <w:rsid w:val="4220113D"/>
    <w:rsid w:val="42304A74"/>
    <w:rsid w:val="42723D94"/>
    <w:rsid w:val="42F30B45"/>
    <w:rsid w:val="42F40AEF"/>
    <w:rsid w:val="439267FF"/>
    <w:rsid w:val="43FF109D"/>
    <w:rsid w:val="44C83163"/>
    <w:rsid w:val="46637BB4"/>
    <w:rsid w:val="482B10C1"/>
    <w:rsid w:val="48BC437D"/>
    <w:rsid w:val="4954347D"/>
    <w:rsid w:val="4A6A79A2"/>
    <w:rsid w:val="4B9732F7"/>
    <w:rsid w:val="4BE97F1B"/>
    <w:rsid w:val="4C2B6FF3"/>
    <w:rsid w:val="4C9A32B0"/>
    <w:rsid w:val="4EA7789C"/>
    <w:rsid w:val="500C70DF"/>
    <w:rsid w:val="52250567"/>
    <w:rsid w:val="53E946A5"/>
    <w:rsid w:val="53EF12C4"/>
    <w:rsid w:val="57205519"/>
    <w:rsid w:val="577F555B"/>
    <w:rsid w:val="57F252EC"/>
    <w:rsid w:val="58291F89"/>
    <w:rsid w:val="588A227A"/>
    <w:rsid w:val="588C67CE"/>
    <w:rsid w:val="589C1A11"/>
    <w:rsid w:val="58AB4D2E"/>
    <w:rsid w:val="5A4C3565"/>
    <w:rsid w:val="5AB60F4D"/>
    <w:rsid w:val="5B8461A7"/>
    <w:rsid w:val="5BAE756E"/>
    <w:rsid w:val="5C0B3FBA"/>
    <w:rsid w:val="60BB3ACA"/>
    <w:rsid w:val="619A26DD"/>
    <w:rsid w:val="61D04635"/>
    <w:rsid w:val="61E64E24"/>
    <w:rsid w:val="6290077E"/>
    <w:rsid w:val="65C64209"/>
    <w:rsid w:val="65C70CD3"/>
    <w:rsid w:val="68317B21"/>
    <w:rsid w:val="68E9469D"/>
    <w:rsid w:val="69810F87"/>
    <w:rsid w:val="6BA01439"/>
    <w:rsid w:val="6DF06419"/>
    <w:rsid w:val="72C255A5"/>
    <w:rsid w:val="752D73B3"/>
    <w:rsid w:val="77534174"/>
    <w:rsid w:val="77EB5B61"/>
    <w:rsid w:val="79062058"/>
    <w:rsid w:val="790A423A"/>
    <w:rsid w:val="7B7B2414"/>
    <w:rsid w:val="7D526D61"/>
    <w:rsid w:val="7E086144"/>
    <w:rsid w:val="7F3349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2"/>
    <w:qFormat/>
    <w:uiPriority w:val="0"/>
    <w:pPr>
      <w:keepNext/>
      <w:keepLines/>
      <w:spacing w:before="340" w:after="330" w:line="578" w:lineRule="auto"/>
      <w:outlineLvl w:val="0"/>
    </w:pPr>
    <w:rPr>
      <w:rFonts w:eastAsia="黑体"/>
      <w:b/>
      <w:kern w:val="44"/>
      <w:sz w:val="32"/>
      <w:szCs w:val="20"/>
    </w:rPr>
  </w:style>
  <w:style w:type="paragraph" w:styleId="3">
    <w:name w:val="heading 2"/>
    <w:basedOn w:val="1"/>
    <w:next w:val="1"/>
    <w:link w:val="68"/>
    <w:qFormat/>
    <w:uiPriority w:val="0"/>
    <w:pPr>
      <w:keepNext/>
      <w:keepLines/>
      <w:adjustRightInd w:val="0"/>
      <w:spacing w:before="260" w:after="260" w:line="416" w:lineRule="atLeast"/>
      <w:ind w:left="2268" w:hanging="425"/>
      <w:outlineLvl w:val="1"/>
    </w:pPr>
    <w:rPr>
      <w:rFonts w:ascii="Arial" w:hAnsi="Arial" w:eastAsia="黑体"/>
      <w:b/>
      <w:sz w:val="32"/>
    </w:rPr>
  </w:style>
  <w:style w:type="paragraph" w:styleId="4">
    <w:name w:val="heading 3"/>
    <w:basedOn w:val="1"/>
    <w:next w:val="1"/>
    <w:link w:val="79"/>
    <w:qFormat/>
    <w:uiPriority w:val="0"/>
    <w:pPr>
      <w:keepNext/>
      <w:keepLines/>
      <w:numPr>
        <w:ilvl w:val="2"/>
        <w:numId w:val="1"/>
      </w:numPr>
      <w:adjustRightInd w:val="0"/>
      <w:spacing w:before="260" w:after="260" w:line="416" w:lineRule="atLeast"/>
      <w:outlineLvl w:val="2"/>
    </w:pPr>
    <w:rPr>
      <w:rFonts w:eastAsia="Arial Unicode MS"/>
      <w:b/>
      <w:sz w:val="32"/>
    </w:rPr>
  </w:style>
  <w:style w:type="paragraph" w:styleId="5">
    <w:name w:val="heading 4"/>
    <w:basedOn w:val="1"/>
    <w:next w:val="1"/>
    <w:link w:val="144"/>
    <w:qFormat/>
    <w:uiPriority w:val="0"/>
    <w:pPr>
      <w:keepNext/>
      <w:keepLines/>
      <w:adjustRightInd w:val="0"/>
      <w:spacing w:before="280" w:after="290" w:line="376" w:lineRule="atLeast"/>
      <w:ind w:left="3118" w:hanging="425"/>
      <w:outlineLvl w:val="3"/>
    </w:pPr>
    <w:rPr>
      <w:rFonts w:ascii="Arial" w:hAnsi="Arial" w:eastAsia="黑体"/>
      <w:b/>
      <w:sz w:val="28"/>
    </w:rPr>
  </w:style>
  <w:style w:type="paragraph" w:styleId="6">
    <w:name w:val="heading 5"/>
    <w:basedOn w:val="1"/>
    <w:next w:val="1"/>
    <w:link w:val="134"/>
    <w:qFormat/>
    <w:uiPriority w:val="0"/>
    <w:pPr>
      <w:keepNext/>
      <w:keepLines/>
      <w:adjustRightInd w:val="0"/>
      <w:spacing w:before="280" w:after="290" w:line="376" w:lineRule="atLeast"/>
      <w:ind w:left="3543" w:hanging="425"/>
      <w:outlineLvl w:val="4"/>
    </w:pPr>
    <w:rPr>
      <w:rFonts w:eastAsia="Arial Unicode MS"/>
      <w:b/>
      <w:sz w:val="28"/>
    </w:rPr>
  </w:style>
  <w:style w:type="paragraph" w:styleId="7">
    <w:name w:val="heading 6"/>
    <w:basedOn w:val="1"/>
    <w:next w:val="1"/>
    <w:link w:val="102"/>
    <w:qFormat/>
    <w:uiPriority w:val="0"/>
    <w:pPr>
      <w:keepNext/>
      <w:keepLines/>
      <w:adjustRightInd w:val="0"/>
      <w:spacing w:before="240" w:after="64" w:line="320" w:lineRule="atLeast"/>
      <w:ind w:left="3968" w:hanging="425"/>
      <w:outlineLvl w:val="5"/>
    </w:pPr>
    <w:rPr>
      <w:rFonts w:ascii="Arial" w:hAnsi="Arial" w:eastAsia="黑体"/>
      <w:b/>
      <w:sz w:val="24"/>
    </w:rPr>
  </w:style>
  <w:style w:type="paragraph" w:styleId="8">
    <w:name w:val="heading 7"/>
    <w:basedOn w:val="1"/>
    <w:next w:val="1"/>
    <w:link w:val="123"/>
    <w:qFormat/>
    <w:uiPriority w:val="0"/>
    <w:pPr>
      <w:keepNext/>
      <w:keepLines/>
      <w:adjustRightInd w:val="0"/>
      <w:spacing w:before="240" w:after="64" w:line="320" w:lineRule="atLeast"/>
      <w:ind w:left="4393" w:hanging="425"/>
      <w:outlineLvl w:val="6"/>
    </w:pPr>
    <w:rPr>
      <w:b/>
      <w:sz w:val="24"/>
    </w:rPr>
  </w:style>
  <w:style w:type="paragraph" w:styleId="9">
    <w:name w:val="heading 8"/>
    <w:basedOn w:val="1"/>
    <w:next w:val="1"/>
    <w:link w:val="69"/>
    <w:qFormat/>
    <w:uiPriority w:val="0"/>
    <w:pPr>
      <w:keepNext/>
      <w:keepLines/>
      <w:adjustRightInd w:val="0"/>
      <w:spacing w:before="240" w:after="64" w:line="320" w:lineRule="atLeast"/>
      <w:ind w:left="4818" w:hanging="425"/>
      <w:outlineLvl w:val="7"/>
    </w:pPr>
    <w:rPr>
      <w:rFonts w:ascii="Arial" w:hAnsi="Arial" w:eastAsia="黑体"/>
      <w:sz w:val="24"/>
    </w:rPr>
  </w:style>
  <w:style w:type="paragraph" w:styleId="10">
    <w:name w:val="heading 9"/>
    <w:basedOn w:val="1"/>
    <w:next w:val="1"/>
    <w:link w:val="113"/>
    <w:qFormat/>
    <w:uiPriority w:val="0"/>
    <w:pPr>
      <w:keepNext/>
      <w:keepLines/>
      <w:adjustRightInd w:val="0"/>
      <w:spacing w:before="240" w:after="64" w:line="320" w:lineRule="atLeast"/>
      <w:ind w:left="5243" w:hanging="425"/>
      <w:outlineLvl w:val="8"/>
    </w:pPr>
    <w:rPr>
      <w:rFonts w:ascii="Arial" w:hAnsi="Arial" w:eastAsia="黑体"/>
    </w:rPr>
  </w:style>
  <w:style w:type="character" w:default="1" w:styleId="58">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szCs w:val="20"/>
    </w:rPr>
  </w:style>
  <w:style w:type="paragraph" w:styleId="12">
    <w:name w:val="toc 7"/>
    <w:basedOn w:val="1"/>
    <w:next w:val="1"/>
    <w:qFormat/>
    <w:uiPriority w:val="39"/>
    <w:pPr>
      <w:ind w:left="1260"/>
      <w:jc w:val="left"/>
    </w:pPr>
    <w:rPr>
      <w:sz w:val="18"/>
      <w:szCs w:val="18"/>
    </w:rPr>
  </w:style>
  <w:style w:type="paragraph" w:styleId="13">
    <w:name w:val="List Number"/>
    <w:basedOn w:val="1"/>
    <w:qFormat/>
    <w:uiPriority w:val="99"/>
    <w:pPr>
      <w:tabs>
        <w:tab w:val="left" w:pos="360"/>
      </w:tabs>
      <w:spacing w:line="300" w:lineRule="auto"/>
      <w:ind w:left="360" w:hanging="200" w:hangingChars="200"/>
    </w:pPr>
    <w:rPr>
      <w:szCs w:val="20"/>
    </w:rPr>
  </w:style>
  <w:style w:type="paragraph" w:styleId="14">
    <w:name w:val="Normal Indent"/>
    <w:basedOn w:val="1"/>
    <w:link w:val="90"/>
    <w:qFormat/>
    <w:uiPriority w:val="0"/>
    <w:pPr>
      <w:ind w:firstLine="420" w:firstLineChars="200"/>
    </w:pPr>
  </w:style>
  <w:style w:type="paragraph" w:styleId="15">
    <w:name w:val="caption"/>
    <w:basedOn w:val="1"/>
    <w:next w:val="1"/>
    <w:qFormat/>
    <w:uiPriority w:val="0"/>
    <w:pPr>
      <w:jc w:val="center"/>
    </w:pPr>
    <w:rPr>
      <w:sz w:val="48"/>
      <w:szCs w:val="20"/>
    </w:rPr>
  </w:style>
  <w:style w:type="paragraph" w:styleId="16">
    <w:name w:val="List Bullet"/>
    <w:basedOn w:val="1"/>
    <w:link w:val="83"/>
    <w:qFormat/>
    <w:uiPriority w:val="0"/>
    <w:pPr>
      <w:tabs>
        <w:tab w:val="left" w:pos="360"/>
      </w:tabs>
      <w:ind w:left="360" w:hanging="360" w:hangingChars="200"/>
    </w:pPr>
  </w:style>
  <w:style w:type="paragraph" w:styleId="17">
    <w:name w:val="Document Map"/>
    <w:basedOn w:val="1"/>
    <w:link w:val="143"/>
    <w:qFormat/>
    <w:uiPriority w:val="0"/>
    <w:rPr>
      <w:rFonts w:ascii="宋体"/>
      <w:sz w:val="18"/>
      <w:szCs w:val="18"/>
    </w:rPr>
  </w:style>
  <w:style w:type="paragraph" w:styleId="18">
    <w:name w:val="annotation text"/>
    <w:basedOn w:val="1"/>
    <w:link w:val="78"/>
    <w:qFormat/>
    <w:uiPriority w:val="0"/>
    <w:pPr>
      <w:jc w:val="left"/>
    </w:pPr>
  </w:style>
  <w:style w:type="paragraph" w:styleId="19">
    <w:name w:val="Body Text 3"/>
    <w:basedOn w:val="1"/>
    <w:link w:val="124"/>
    <w:qFormat/>
    <w:uiPriority w:val="99"/>
    <w:pPr>
      <w:spacing w:after="120"/>
    </w:pPr>
    <w:rPr>
      <w:sz w:val="16"/>
      <w:szCs w:val="16"/>
    </w:rPr>
  </w:style>
  <w:style w:type="paragraph" w:styleId="20">
    <w:name w:val="Body Text"/>
    <w:basedOn w:val="1"/>
    <w:link w:val="132"/>
    <w:qFormat/>
    <w:uiPriority w:val="99"/>
    <w:pPr>
      <w:spacing w:after="120"/>
    </w:pPr>
  </w:style>
  <w:style w:type="paragraph" w:styleId="21">
    <w:name w:val="Body Text Indent"/>
    <w:basedOn w:val="1"/>
    <w:link w:val="80"/>
    <w:qFormat/>
    <w:uiPriority w:val="99"/>
    <w:pPr>
      <w:adjustRightInd w:val="0"/>
      <w:spacing w:line="320" w:lineRule="atLeast"/>
      <w:ind w:firstLine="480"/>
      <w:textAlignment w:val="baseline"/>
    </w:pPr>
    <w:rPr>
      <w:rFonts w:ascii="楷体" w:eastAsia="楷体_GB2312"/>
      <w:kern w:val="0"/>
      <w:sz w:val="30"/>
      <w:szCs w:val="20"/>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tabs>
        <w:tab w:val="left" w:pos="8460"/>
      </w:tabs>
      <w:spacing w:line="360" w:lineRule="auto"/>
      <w:ind w:left="67" w:right="6" w:firstLine="538" w:firstLineChars="192"/>
    </w:pPr>
    <w:rPr>
      <w:rFonts w:ascii="仿宋_GB2312" w:eastAsia="仿宋_GB2312"/>
      <w:sz w:val="28"/>
    </w:rPr>
  </w:style>
  <w:style w:type="paragraph" w:styleId="24">
    <w:name w:val="List Bullet 2"/>
    <w:basedOn w:val="1"/>
    <w:semiHidden/>
    <w:unhideWhenUsed/>
    <w:qFormat/>
    <w:uiPriority w:val="0"/>
    <w:pPr>
      <w:numPr>
        <w:ilvl w:val="0"/>
        <w:numId w:val="2"/>
      </w:numPr>
      <w:contextualSpacing/>
    </w:pPr>
  </w:style>
  <w:style w:type="paragraph" w:styleId="25">
    <w:name w:val="toc 5"/>
    <w:basedOn w:val="1"/>
    <w:next w:val="1"/>
    <w:qFormat/>
    <w:uiPriority w:val="39"/>
    <w:pPr>
      <w:ind w:left="840"/>
      <w:jc w:val="left"/>
    </w:pPr>
    <w:rPr>
      <w:sz w:val="18"/>
      <w:szCs w:val="18"/>
    </w:rPr>
  </w:style>
  <w:style w:type="paragraph" w:styleId="26">
    <w:name w:val="toc 3"/>
    <w:basedOn w:val="1"/>
    <w:next w:val="1"/>
    <w:qFormat/>
    <w:uiPriority w:val="39"/>
    <w:pPr>
      <w:tabs>
        <w:tab w:val="left" w:pos="840"/>
      </w:tabs>
      <w:ind w:left="420" w:firstLine="600" w:firstLineChars="300"/>
      <w:jc w:val="left"/>
    </w:pPr>
    <w:rPr>
      <w:i/>
      <w:iCs/>
      <w:sz w:val="20"/>
      <w:szCs w:val="20"/>
    </w:rPr>
  </w:style>
  <w:style w:type="paragraph" w:styleId="27">
    <w:name w:val="Plain Text"/>
    <w:basedOn w:val="1"/>
    <w:link w:val="70"/>
    <w:qFormat/>
    <w:uiPriority w:val="0"/>
    <w:pPr>
      <w:adjustRightInd w:val="0"/>
      <w:jc w:val="left"/>
      <w:textAlignment w:val="baseline"/>
    </w:pPr>
    <w:rPr>
      <w:rFonts w:ascii="宋体"/>
      <w:kern w:val="0"/>
      <w:sz w:val="24"/>
      <w:szCs w:val="20"/>
    </w:rPr>
  </w:style>
  <w:style w:type="paragraph" w:styleId="28">
    <w:name w:val="toc 8"/>
    <w:basedOn w:val="1"/>
    <w:next w:val="1"/>
    <w:qFormat/>
    <w:uiPriority w:val="39"/>
    <w:pPr>
      <w:ind w:left="1470"/>
      <w:jc w:val="left"/>
    </w:pPr>
    <w:rPr>
      <w:sz w:val="18"/>
      <w:szCs w:val="18"/>
    </w:rPr>
  </w:style>
  <w:style w:type="paragraph" w:styleId="29">
    <w:name w:val="Date"/>
    <w:basedOn w:val="1"/>
    <w:next w:val="1"/>
    <w:link w:val="145"/>
    <w:qFormat/>
    <w:uiPriority w:val="99"/>
    <w:pPr>
      <w:adjustRightInd w:val="0"/>
      <w:spacing w:line="312" w:lineRule="atLeast"/>
      <w:jc w:val="right"/>
      <w:textAlignment w:val="baseline"/>
    </w:pPr>
    <w:rPr>
      <w:kern w:val="0"/>
      <w:szCs w:val="20"/>
    </w:rPr>
  </w:style>
  <w:style w:type="paragraph" w:styleId="30">
    <w:name w:val="Body Text Indent 2"/>
    <w:basedOn w:val="1"/>
    <w:link w:val="135"/>
    <w:qFormat/>
    <w:uiPriority w:val="99"/>
    <w:pPr>
      <w:adjustRightInd w:val="0"/>
      <w:snapToGrid w:val="0"/>
      <w:spacing w:line="360" w:lineRule="auto"/>
      <w:ind w:firstLine="502"/>
    </w:pPr>
    <w:rPr>
      <w:rFonts w:ascii="仿宋_GB2312" w:eastAsia="仿宋_GB2312"/>
      <w:sz w:val="28"/>
    </w:rPr>
  </w:style>
  <w:style w:type="paragraph" w:styleId="31">
    <w:name w:val="endnote text"/>
    <w:basedOn w:val="1"/>
    <w:link w:val="67"/>
    <w:qFormat/>
    <w:uiPriority w:val="99"/>
    <w:pPr>
      <w:snapToGrid w:val="0"/>
      <w:spacing w:line="300" w:lineRule="auto"/>
      <w:ind w:firstLine="567"/>
      <w:jc w:val="left"/>
    </w:pPr>
    <w:rPr>
      <w:szCs w:val="20"/>
    </w:rPr>
  </w:style>
  <w:style w:type="paragraph" w:styleId="32">
    <w:name w:val="Balloon Text"/>
    <w:basedOn w:val="1"/>
    <w:link w:val="81"/>
    <w:qFormat/>
    <w:uiPriority w:val="0"/>
    <w:rPr>
      <w:sz w:val="18"/>
      <w:szCs w:val="18"/>
    </w:rPr>
  </w:style>
  <w:style w:type="paragraph" w:styleId="33">
    <w:name w:val="footer"/>
    <w:basedOn w:val="1"/>
    <w:link w:val="120"/>
    <w:qFormat/>
    <w:uiPriority w:val="99"/>
    <w:pPr>
      <w:tabs>
        <w:tab w:val="center" w:pos="4320"/>
        <w:tab w:val="right" w:pos="8640"/>
      </w:tabs>
      <w:adjustRightInd w:val="0"/>
      <w:spacing w:line="240" w:lineRule="atLeast"/>
      <w:jc w:val="left"/>
      <w:textAlignment w:val="baseline"/>
    </w:pPr>
    <w:rPr>
      <w:rFonts w:ascii="楷体" w:eastAsia="Times New Roman"/>
      <w:kern w:val="0"/>
      <w:sz w:val="18"/>
      <w:szCs w:val="20"/>
    </w:rPr>
  </w:style>
  <w:style w:type="paragraph" w:styleId="34">
    <w:name w:val="header"/>
    <w:basedOn w:val="1"/>
    <w:link w:val="103"/>
    <w:qFormat/>
    <w:uiPriority w:val="99"/>
    <w:pPr>
      <w:pBdr>
        <w:bottom w:val="single" w:color="auto" w:sz="6" w:space="1"/>
      </w:pBdr>
      <w:tabs>
        <w:tab w:val="center" w:pos="4320"/>
        <w:tab w:val="right" w:pos="8640"/>
      </w:tabs>
      <w:adjustRightInd w:val="0"/>
      <w:spacing w:line="240" w:lineRule="atLeast"/>
      <w:jc w:val="center"/>
      <w:textAlignment w:val="baseline"/>
    </w:pPr>
    <w:rPr>
      <w:rFonts w:ascii="楷体" w:eastAsia="Times New Roman"/>
      <w:kern w:val="0"/>
      <w:sz w:val="18"/>
      <w:szCs w:val="20"/>
    </w:rPr>
  </w:style>
  <w:style w:type="paragraph" w:styleId="35">
    <w:name w:val="Signature"/>
    <w:basedOn w:val="1"/>
    <w:link w:val="116"/>
    <w:qFormat/>
    <w:uiPriority w:val="0"/>
    <w:pPr>
      <w:ind w:left="100" w:leftChars="2100"/>
    </w:pPr>
  </w:style>
  <w:style w:type="paragraph" w:styleId="36">
    <w:name w:val="toc 1"/>
    <w:basedOn w:val="1"/>
    <w:next w:val="1"/>
    <w:qFormat/>
    <w:uiPriority w:val="39"/>
    <w:pPr>
      <w:tabs>
        <w:tab w:val="left" w:pos="1050"/>
        <w:tab w:val="right" w:leader="dot" w:pos="9066"/>
      </w:tabs>
      <w:adjustRightInd w:val="0"/>
      <w:snapToGrid w:val="0"/>
      <w:spacing w:line="480" w:lineRule="auto"/>
      <w:jc w:val="left"/>
    </w:pPr>
    <w:rPr>
      <w:b/>
      <w:bCs/>
      <w:caps/>
      <w:sz w:val="20"/>
      <w:szCs w:val="20"/>
    </w:rPr>
  </w:style>
  <w:style w:type="paragraph" w:styleId="37">
    <w:name w:val="toc 4"/>
    <w:basedOn w:val="1"/>
    <w:next w:val="1"/>
    <w:qFormat/>
    <w:uiPriority w:val="39"/>
    <w:pPr>
      <w:ind w:left="630"/>
      <w:jc w:val="left"/>
    </w:pPr>
    <w:rPr>
      <w:sz w:val="18"/>
      <w:szCs w:val="18"/>
    </w:rPr>
  </w:style>
  <w:style w:type="paragraph" w:styleId="38">
    <w:name w:val="Subtitle"/>
    <w:basedOn w:val="1"/>
    <w:next w:val="1"/>
    <w:link w:val="111"/>
    <w:qFormat/>
    <w:uiPriority w:val="11"/>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40">
    <w:name w:val="footnote text"/>
    <w:basedOn w:val="1"/>
    <w:link w:val="94"/>
    <w:qFormat/>
    <w:uiPriority w:val="0"/>
    <w:pPr>
      <w:snapToGrid w:val="0"/>
      <w:jc w:val="left"/>
    </w:pPr>
    <w:rPr>
      <w:sz w:val="18"/>
      <w:szCs w:val="18"/>
    </w:rPr>
  </w:style>
  <w:style w:type="paragraph" w:styleId="41">
    <w:name w:val="toc 6"/>
    <w:basedOn w:val="1"/>
    <w:next w:val="1"/>
    <w:qFormat/>
    <w:uiPriority w:val="39"/>
    <w:pPr>
      <w:ind w:left="1050"/>
      <w:jc w:val="left"/>
    </w:pPr>
    <w:rPr>
      <w:sz w:val="18"/>
      <w:szCs w:val="18"/>
    </w:rPr>
  </w:style>
  <w:style w:type="paragraph" w:styleId="42">
    <w:name w:val="Body Text Indent 3"/>
    <w:basedOn w:val="1"/>
    <w:link w:val="91"/>
    <w:qFormat/>
    <w:uiPriority w:val="99"/>
    <w:pPr>
      <w:snapToGrid w:val="0"/>
      <w:spacing w:line="360" w:lineRule="auto"/>
      <w:ind w:firstLine="502"/>
    </w:pPr>
    <w:rPr>
      <w:rFonts w:ascii="仿宋_GB2312" w:eastAsia="仿宋_GB2312"/>
      <w:color w:val="FF0000"/>
      <w:sz w:val="28"/>
    </w:rPr>
  </w:style>
  <w:style w:type="paragraph" w:styleId="43">
    <w:name w:val="toc 2"/>
    <w:basedOn w:val="1"/>
    <w:next w:val="1"/>
    <w:qFormat/>
    <w:uiPriority w:val="39"/>
    <w:pPr>
      <w:ind w:left="210"/>
      <w:jc w:val="left"/>
    </w:pPr>
    <w:rPr>
      <w:smallCaps/>
      <w:sz w:val="20"/>
      <w:szCs w:val="20"/>
    </w:rPr>
  </w:style>
  <w:style w:type="paragraph" w:styleId="44">
    <w:name w:val="toc 9"/>
    <w:basedOn w:val="1"/>
    <w:next w:val="1"/>
    <w:qFormat/>
    <w:uiPriority w:val="39"/>
    <w:pPr>
      <w:ind w:left="1680"/>
      <w:jc w:val="left"/>
    </w:pPr>
    <w:rPr>
      <w:sz w:val="18"/>
      <w:szCs w:val="18"/>
    </w:rPr>
  </w:style>
  <w:style w:type="paragraph" w:styleId="45">
    <w:name w:val="Body Text 2"/>
    <w:basedOn w:val="1"/>
    <w:link w:val="114"/>
    <w:qFormat/>
    <w:uiPriority w:val="99"/>
    <w:pPr>
      <w:ind w:right="-1"/>
    </w:pPr>
    <w:rPr>
      <w:rFonts w:ascii="宋体"/>
      <w:sz w:val="24"/>
      <w:szCs w:val="20"/>
    </w:rPr>
  </w:style>
  <w:style w:type="paragraph" w:styleId="46">
    <w:name w:val="List Continue 2"/>
    <w:basedOn w:val="1"/>
    <w:qFormat/>
    <w:uiPriority w:val="0"/>
    <w:pPr>
      <w:spacing w:after="120"/>
      <w:ind w:left="840" w:leftChars="400"/>
    </w:pPr>
  </w:style>
  <w:style w:type="paragraph" w:styleId="47">
    <w:name w:val="HTML Preformatted"/>
    <w:basedOn w:val="1"/>
    <w:link w:val="1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link w:val="133"/>
    <w:qFormat/>
    <w:uiPriority w:val="99"/>
    <w:pPr>
      <w:widowControl/>
      <w:spacing w:before="100" w:beforeAutospacing="1" w:after="100" w:afterAutospacing="1"/>
      <w:jc w:val="left"/>
    </w:pPr>
    <w:rPr>
      <w:rFonts w:ascii="宋体" w:hAnsi="宋体"/>
      <w:color w:val="000000"/>
      <w:kern w:val="0"/>
      <w:sz w:val="24"/>
    </w:rPr>
  </w:style>
  <w:style w:type="paragraph" w:styleId="49">
    <w:name w:val="index 1"/>
    <w:basedOn w:val="1"/>
    <w:next w:val="1"/>
    <w:qFormat/>
    <w:uiPriority w:val="0"/>
    <w:pPr>
      <w:spacing w:line="360" w:lineRule="auto"/>
      <w:jc w:val="center"/>
    </w:pPr>
    <w:rPr>
      <w:rFonts w:ascii="Arial Narrow" w:hAnsi="Arial Narrow" w:eastAsia="仿宋_GB2312"/>
    </w:rPr>
  </w:style>
  <w:style w:type="paragraph" w:styleId="50">
    <w:name w:val="Title"/>
    <w:basedOn w:val="17"/>
    <w:link w:val="84"/>
    <w:qFormat/>
    <w:uiPriority w:val="10"/>
    <w:pPr>
      <w:shd w:val="clear" w:color="auto" w:fill="000080"/>
      <w:spacing w:before="240" w:after="60"/>
      <w:jc w:val="center"/>
      <w:outlineLvl w:val="0"/>
    </w:pPr>
    <w:rPr>
      <w:rFonts w:ascii="Arial" w:hAnsi="Arial"/>
      <w:b/>
      <w:bCs/>
      <w:sz w:val="32"/>
      <w:szCs w:val="32"/>
      <w:shd w:val="clear" w:color="auto" w:fill="000080"/>
    </w:rPr>
  </w:style>
  <w:style w:type="paragraph" w:styleId="51">
    <w:name w:val="annotation subject"/>
    <w:basedOn w:val="18"/>
    <w:next w:val="18"/>
    <w:link w:val="146"/>
    <w:qFormat/>
    <w:uiPriority w:val="0"/>
    <w:rPr>
      <w:rFonts w:ascii="仿宋_GB2312" w:eastAsia="仿宋_GB2312"/>
      <w:b/>
      <w:bCs/>
    </w:rPr>
  </w:style>
  <w:style w:type="paragraph" w:styleId="52">
    <w:name w:val="Body Text First Indent"/>
    <w:basedOn w:val="20"/>
    <w:link w:val="130"/>
    <w:qFormat/>
    <w:uiPriority w:val="0"/>
    <w:pPr>
      <w:snapToGrid w:val="0"/>
      <w:spacing w:line="300" w:lineRule="auto"/>
      <w:ind w:firstLine="420" w:firstLineChars="100"/>
    </w:pPr>
    <w:rPr>
      <w:rFonts w:ascii="仿宋_GB2312" w:eastAsia="仿宋_GB2312"/>
      <w:sz w:val="28"/>
    </w:rPr>
  </w:style>
  <w:style w:type="paragraph" w:styleId="53">
    <w:name w:val="Body Text First Indent 2"/>
    <w:basedOn w:val="21"/>
    <w:link w:val="425"/>
    <w:qFormat/>
    <w:uiPriority w:val="0"/>
    <w:pPr>
      <w:adjustRightInd/>
      <w:spacing w:after="120" w:line="240" w:lineRule="auto"/>
      <w:ind w:left="420" w:firstLine="210"/>
      <w:textAlignment w:val="auto"/>
    </w:pPr>
    <w:rPr>
      <w:rFonts w:ascii="Times New Roman" w:eastAsia="宋体"/>
      <w:sz w:val="21"/>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6">
    <w:name w:val="Table Theme"/>
    <w:basedOn w:val="5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7">
    <w:name w:val="Table Simple 1"/>
    <w:basedOn w:val="54"/>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59">
    <w:name w:val="Strong"/>
    <w:basedOn w:val="58"/>
    <w:qFormat/>
    <w:uiPriority w:val="22"/>
    <w:rPr>
      <w:b/>
      <w:bCs/>
    </w:rPr>
  </w:style>
  <w:style w:type="character" w:styleId="60">
    <w:name w:val="page number"/>
    <w:qFormat/>
    <w:uiPriority w:val="99"/>
    <w:rPr>
      <w:rFonts w:ascii="宋体" w:hAnsi="宋体" w:eastAsia="宋体"/>
    </w:rPr>
  </w:style>
  <w:style w:type="character" w:styleId="61">
    <w:name w:val="FollowedHyperlink"/>
    <w:qFormat/>
    <w:uiPriority w:val="0"/>
    <w:rPr>
      <w:color w:val="800080"/>
      <w:u w:val="single"/>
    </w:rPr>
  </w:style>
  <w:style w:type="character" w:styleId="62">
    <w:name w:val="Emphasis"/>
    <w:qFormat/>
    <w:uiPriority w:val="20"/>
    <w:rPr>
      <w:color w:val="CC0033"/>
    </w:rPr>
  </w:style>
  <w:style w:type="character" w:styleId="63">
    <w:name w:val="Hyperlink"/>
    <w:qFormat/>
    <w:uiPriority w:val="99"/>
    <w:rPr>
      <w:color w:val="0000FF"/>
      <w:u w:val="single"/>
    </w:rPr>
  </w:style>
  <w:style w:type="character" w:styleId="64">
    <w:name w:val="annotation reference"/>
    <w:qFormat/>
    <w:uiPriority w:val="99"/>
    <w:rPr>
      <w:sz w:val="21"/>
      <w:szCs w:val="21"/>
    </w:rPr>
  </w:style>
  <w:style w:type="character" w:customStyle="1" w:styleId="65">
    <w:name w:val="5h"/>
    <w:qFormat/>
    <w:uiPriority w:val="0"/>
    <w:rPr>
      <w:rFonts w:eastAsia="楷体"/>
      <w:spacing w:val="0"/>
      <w:position w:val="0"/>
      <w:sz w:val="21"/>
    </w:rPr>
  </w:style>
  <w:style w:type="character" w:customStyle="1" w:styleId="66">
    <w:name w:val="Section Heading Char"/>
    <w:qFormat/>
    <w:uiPriority w:val="0"/>
    <w:rPr>
      <w:rFonts w:eastAsia="仿宋_GB2312"/>
      <w:kern w:val="2"/>
      <w:sz w:val="28"/>
      <w:lang w:val="en-US" w:eastAsia="zh-CN" w:bidi="ar-SA"/>
    </w:rPr>
  </w:style>
  <w:style w:type="character" w:customStyle="1" w:styleId="67">
    <w:name w:val="尾注文本 字符"/>
    <w:link w:val="31"/>
    <w:qFormat/>
    <w:uiPriority w:val="99"/>
    <w:rPr>
      <w:kern w:val="2"/>
      <w:sz w:val="21"/>
    </w:rPr>
  </w:style>
  <w:style w:type="character" w:customStyle="1" w:styleId="68">
    <w:name w:val="标题 2 字符"/>
    <w:link w:val="3"/>
    <w:qFormat/>
    <w:uiPriority w:val="0"/>
    <w:rPr>
      <w:rFonts w:ascii="Arial" w:hAnsi="Arial" w:eastAsia="黑体"/>
      <w:b/>
      <w:kern w:val="2"/>
      <w:sz w:val="32"/>
      <w:szCs w:val="24"/>
    </w:rPr>
  </w:style>
  <w:style w:type="character" w:customStyle="1" w:styleId="69">
    <w:name w:val="标题 8 字符"/>
    <w:link w:val="9"/>
    <w:qFormat/>
    <w:uiPriority w:val="0"/>
    <w:rPr>
      <w:rFonts w:ascii="Arial" w:hAnsi="Arial" w:eastAsia="黑体"/>
      <w:kern w:val="2"/>
      <w:sz w:val="24"/>
      <w:szCs w:val="24"/>
    </w:rPr>
  </w:style>
  <w:style w:type="character" w:customStyle="1" w:styleId="70">
    <w:name w:val="纯文本 字符"/>
    <w:link w:val="27"/>
    <w:qFormat/>
    <w:uiPriority w:val="0"/>
    <w:rPr>
      <w:rFonts w:ascii="宋体"/>
      <w:sz w:val="24"/>
    </w:rPr>
  </w:style>
  <w:style w:type="character" w:customStyle="1" w:styleId="71">
    <w:name w:val="样式 楷体_GB23121"/>
    <w:qFormat/>
    <w:uiPriority w:val="0"/>
    <w:rPr>
      <w:rFonts w:ascii="楷体_GB2312" w:hAnsi="楷体_GB2312" w:eastAsia="楷体_GB2312"/>
      <w:b/>
    </w:rPr>
  </w:style>
  <w:style w:type="character" w:customStyle="1" w:styleId="72">
    <w:name w:val="普通文字 Char Char Char"/>
    <w:qFormat/>
    <w:uiPriority w:val="0"/>
    <w:rPr>
      <w:rFonts w:ascii="宋体" w:hAnsi="Courier New" w:eastAsia="宋体"/>
      <w:kern w:val="2"/>
      <w:sz w:val="21"/>
      <w:lang w:val="en-US" w:eastAsia="zh-CN" w:bidi="ar-SA"/>
    </w:rPr>
  </w:style>
  <w:style w:type="character" w:customStyle="1" w:styleId="73">
    <w:name w:val="v15"/>
    <w:basedOn w:val="58"/>
    <w:qFormat/>
    <w:uiPriority w:val="0"/>
  </w:style>
  <w:style w:type="character" w:customStyle="1" w:styleId="74">
    <w:name w:val="text1"/>
    <w:qFormat/>
    <w:uiPriority w:val="0"/>
    <w:rPr>
      <w:color w:val="000000"/>
      <w:sz w:val="22"/>
      <w:szCs w:val="22"/>
      <w:u w:val="none"/>
    </w:rPr>
  </w:style>
  <w:style w:type="character" w:customStyle="1" w:styleId="75">
    <w:name w:val="tpt12hui21"/>
    <w:qFormat/>
    <w:uiPriority w:val="0"/>
    <w:rPr>
      <w:color w:val="999999"/>
      <w:sz w:val="18"/>
      <w:szCs w:val="18"/>
    </w:rPr>
  </w:style>
  <w:style w:type="character" w:customStyle="1" w:styleId="76">
    <w:name w:val="普通文字 Char2"/>
    <w:qFormat/>
    <w:uiPriority w:val="0"/>
    <w:rPr>
      <w:rFonts w:ascii="宋体" w:hAnsi="Courier New" w:eastAsia="宋体"/>
      <w:kern w:val="2"/>
      <w:sz w:val="21"/>
      <w:lang w:val="en-US" w:eastAsia="zh-CN" w:bidi="ar-SA"/>
    </w:rPr>
  </w:style>
  <w:style w:type="character" w:customStyle="1" w:styleId="77">
    <w:name w:val="Char Char10"/>
    <w:qFormat/>
    <w:uiPriority w:val="0"/>
    <w:rPr>
      <w:rFonts w:ascii="Times New Roman" w:hAnsi="Times New Roman" w:eastAsia="宋体" w:cs="Times New Roman"/>
      <w:kern w:val="2"/>
      <w:sz w:val="21"/>
      <w:szCs w:val="20"/>
      <w:lang w:val="en-US" w:eastAsia="zh-CN" w:bidi="ar-SA"/>
    </w:rPr>
  </w:style>
  <w:style w:type="character" w:customStyle="1" w:styleId="78">
    <w:name w:val="批注文字 字符"/>
    <w:link w:val="18"/>
    <w:qFormat/>
    <w:uiPriority w:val="0"/>
    <w:rPr>
      <w:kern w:val="2"/>
      <w:sz w:val="21"/>
      <w:szCs w:val="24"/>
    </w:rPr>
  </w:style>
  <w:style w:type="character" w:customStyle="1" w:styleId="79">
    <w:name w:val="标题 3 字符"/>
    <w:link w:val="4"/>
    <w:qFormat/>
    <w:uiPriority w:val="0"/>
    <w:rPr>
      <w:rFonts w:eastAsia="Arial Unicode MS"/>
      <w:b/>
      <w:kern w:val="2"/>
      <w:sz w:val="32"/>
      <w:szCs w:val="24"/>
    </w:rPr>
  </w:style>
  <w:style w:type="character" w:customStyle="1" w:styleId="80">
    <w:name w:val="正文文本缩进 字符"/>
    <w:link w:val="21"/>
    <w:qFormat/>
    <w:uiPriority w:val="99"/>
    <w:rPr>
      <w:rFonts w:ascii="楷体" w:eastAsia="楷体_GB2312"/>
      <w:sz w:val="30"/>
    </w:rPr>
  </w:style>
  <w:style w:type="character" w:customStyle="1" w:styleId="81">
    <w:name w:val="批注框文本 字符"/>
    <w:link w:val="32"/>
    <w:qFormat/>
    <w:uiPriority w:val="0"/>
    <w:rPr>
      <w:kern w:val="2"/>
      <w:sz w:val="18"/>
      <w:szCs w:val="18"/>
    </w:rPr>
  </w:style>
  <w:style w:type="character" w:customStyle="1" w:styleId="82">
    <w:name w:val="样式 样式 招股书正文 + 首行缩进:  2 字符 + 加粗1 Char"/>
    <w:qFormat/>
    <w:uiPriority w:val="0"/>
    <w:rPr>
      <w:rFonts w:ascii="Arial" w:hAnsi="Arial" w:eastAsia="宋体" w:cs="宋体"/>
      <w:bCs/>
      <w:kern w:val="2"/>
      <w:sz w:val="24"/>
      <w:szCs w:val="24"/>
      <w:lang w:val="en-US" w:eastAsia="zh-CN" w:bidi="ar-SA"/>
    </w:rPr>
  </w:style>
  <w:style w:type="character" w:customStyle="1" w:styleId="83">
    <w:name w:val="列表项目符号 字符"/>
    <w:link w:val="16"/>
    <w:qFormat/>
    <w:uiPriority w:val="0"/>
    <w:rPr>
      <w:kern w:val="2"/>
      <w:sz w:val="21"/>
      <w:szCs w:val="24"/>
    </w:rPr>
  </w:style>
  <w:style w:type="character" w:customStyle="1" w:styleId="84">
    <w:name w:val="标题 字符"/>
    <w:link w:val="50"/>
    <w:qFormat/>
    <w:uiPriority w:val="10"/>
    <w:rPr>
      <w:rFonts w:ascii="Arial" w:hAnsi="Arial" w:cs="Arial"/>
      <w:b/>
      <w:bCs/>
      <w:kern w:val="2"/>
      <w:sz w:val="32"/>
      <w:szCs w:val="32"/>
      <w:shd w:val="clear" w:color="auto" w:fill="000080"/>
    </w:rPr>
  </w:style>
  <w:style w:type="character" w:customStyle="1" w:styleId="85">
    <w:name w:val="正文文字缩进 2 Char Char"/>
    <w:qFormat/>
    <w:uiPriority w:val="0"/>
    <w:rPr>
      <w:rFonts w:ascii="Times New Roman" w:hAnsi="Times New Roman" w:eastAsia="仿宋_GB2312" w:cs="Times New Roman"/>
      <w:kern w:val="0"/>
      <w:position w:val="-6"/>
      <w:sz w:val="28"/>
      <w:szCs w:val="20"/>
    </w:rPr>
  </w:style>
  <w:style w:type="character" w:customStyle="1" w:styleId="86">
    <w:name w:val="Section Heading Char Char"/>
    <w:qFormat/>
    <w:uiPriority w:val="0"/>
    <w:rPr>
      <w:rFonts w:ascii="宋体" w:eastAsia="宋体"/>
      <w:sz w:val="28"/>
      <w:lang w:val="en-US" w:eastAsia="zh-CN" w:bidi="ar-SA"/>
    </w:rPr>
  </w:style>
  <w:style w:type="character" w:customStyle="1" w:styleId="87">
    <w:name w:val="zw Char Char"/>
    <w:link w:val="88"/>
    <w:qFormat/>
    <w:uiPriority w:val="0"/>
    <w:rPr>
      <w:rFonts w:ascii="Arial Narrow" w:eastAsia="昆仑楷体"/>
      <w:sz w:val="28"/>
      <w:lang w:val="en-US" w:eastAsia="zh-CN" w:bidi="ar-SA"/>
    </w:rPr>
  </w:style>
  <w:style w:type="paragraph" w:customStyle="1" w:styleId="88">
    <w:name w:val="zw"/>
    <w:basedOn w:val="1"/>
    <w:link w:val="87"/>
    <w:qFormat/>
    <w:uiPriority w:val="0"/>
    <w:pPr>
      <w:adjustRightInd w:val="0"/>
      <w:spacing w:line="440" w:lineRule="atLeast"/>
      <w:ind w:firstLine="601"/>
      <w:textAlignment w:val="baseline"/>
    </w:pPr>
    <w:rPr>
      <w:rFonts w:ascii="Arial Narrow" w:eastAsia="昆仑楷体"/>
      <w:kern w:val="0"/>
      <w:sz w:val="28"/>
      <w:szCs w:val="20"/>
    </w:rPr>
  </w:style>
  <w:style w:type="character" w:customStyle="1" w:styleId="89">
    <w:name w:val="e011"/>
    <w:qFormat/>
    <w:uiPriority w:val="0"/>
    <w:rPr>
      <w:rFonts w:cs="Times New Roman"/>
      <w:sz w:val="19"/>
      <w:szCs w:val="19"/>
    </w:rPr>
  </w:style>
  <w:style w:type="character" w:customStyle="1" w:styleId="90">
    <w:name w:val="正文缩进 字符"/>
    <w:link w:val="14"/>
    <w:qFormat/>
    <w:uiPriority w:val="0"/>
    <w:rPr>
      <w:kern w:val="2"/>
      <w:sz w:val="21"/>
      <w:szCs w:val="24"/>
    </w:rPr>
  </w:style>
  <w:style w:type="character" w:customStyle="1" w:styleId="91">
    <w:name w:val="正文文本缩进 3 字符"/>
    <w:link w:val="42"/>
    <w:qFormat/>
    <w:uiPriority w:val="99"/>
    <w:rPr>
      <w:rFonts w:ascii="仿宋_GB2312" w:eastAsia="仿宋_GB2312"/>
      <w:color w:val="FF0000"/>
      <w:kern w:val="2"/>
      <w:sz w:val="28"/>
      <w:szCs w:val="24"/>
    </w:rPr>
  </w:style>
  <w:style w:type="character" w:customStyle="1" w:styleId="92">
    <w:name w:val="GX.正文 Char Char"/>
    <w:link w:val="93"/>
    <w:qFormat/>
    <w:uiPriority w:val="0"/>
    <w:rPr>
      <w:rFonts w:eastAsia="仿宋_GB2312"/>
      <w:kern w:val="2"/>
      <w:sz w:val="24"/>
      <w:szCs w:val="24"/>
    </w:rPr>
  </w:style>
  <w:style w:type="paragraph" w:customStyle="1" w:styleId="93">
    <w:name w:val="GX.正文"/>
    <w:basedOn w:val="1"/>
    <w:link w:val="92"/>
    <w:qFormat/>
    <w:uiPriority w:val="0"/>
    <w:pPr>
      <w:spacing w:line="360" w:lineRule="auto"/>
      <w:ind w:firstLine="200" w:firstLineChars="200"/>
    </w:pPr>
    <w:rPr>
      <w:rFonts w:eastAsia="仿宋_GB2312"/>
      <w:sz w:val="24"/>
    </w:rPr>
  </w:style>
  <w:style w:type="character" w:customStyle="1" w:styleId="94">
    <w:name w:val="脚注文本 字符"/>
    <w:link w:val="40"/>
    <w:qFormat/>
    <w:uiPriority w:val="0"/>
    <w:rPr>
      <w:kern w:val="2"/>
      <w:sz w:val="18"/>
      <w:szCs w:val="18"/>
    </w:rPr>
  </w:style>
  <w:style w:type="character" w:customStyle="1" w:styleId="95">
    <w:name w:val="标题 1 Char Char"/>
    <w:qFormat/>
    <w:uiPriority w:val="0"/>
    <w:rPr>
      <w:rFonts w:eastAsia="仿宋_GB2312"/>
      <w:kern w:val="2"/>
      <w:sz w:val="28"/>
      <w:lang w:val="en-US" w:eastAsia="zh-CN" w:bidi="ar-SA"/>
    </w:rPr>
  </w:style>
  <w:style w:type="character" w:customStyle="1" w:styleId="96">
    <w:name w:val="grame"/>
    <w:basedOn w:val="58"/>
    <w:qFormat/>
    <w:uiPriority w:val="0"/>
  </w:style>
  <w:style w:type="character" w:customStyle="1" w:styleId="97">
    <w:name w:val="Char Char1"/>
    <w:qFormat/>
    <w:uiPriority w:val="0"/>
    <w:rPr>
      <w:rFonts w:ascii="宋体" w:hAnsi="宋体" w:eastAsia="宋体" w:cs="宋体"/>
      <w:color w:val="000080"/>
      <w:sz w:val="24"/>
      <w:szCs w:val="24"/>
      <w:lang w:val="en-US" w:eastAsia="zh-CN" w:bidi="ar-SA"/>
    </w:rPr>
  </w:style>
  <w:style w:type="character" w:customStyle="1" w:styleId="98">
    <w:name w:val="footer odd Char Char"/>
    <w:qFormat/>
    <w:uiPriority w:val="0"/>
    <w:rPr>
      <w:sz w:val="18"/>
      <w:szCs w:val="18"/>
    </w:rPr>
  </w:style>
  <w:style w:type="character" w:customStyle="1" w:styleId="99">
    <w:name w:val="Char Char12"/>
    <w:qFormat/>
    <w:uiPriority w:val="0"/>
    <w:rPr>
      <w:rFonts w:ascii="Arial" w:hAnsi="Arial" w:eastAsia="黑体" w:cs="Times New Roman"/>
      <w:kern w:val="0"/>
      <w:sz w:val="24"/>
      <w:szCs w:val="20"/>
    </w:rPr>
  </w:style>
  <w:style w:type="character" w:customStyle="1" w:styleId="100">
    <w:name w:val="footer odd Char Char1"/>
    <w:qFormat/>
    <w:uiPriority w:val="0"/>
    <w:rPr>
      <w:rFonts w:eastAsia="宋体"/>
      <w:kern w:val="2"/>
      <w:sz w:val="18"/>
      <w:lang w:val="en-US" w:eastAsia="zh-CN" w:bidi="ar-SA"/>
    </w:rPr>
  </w:style>
  <w:style w:type="character" w:customStyle="1" w:styleId="101">
    <w:name w:val="line-height"/>
    <w:basedOn w:val="58"/>
    <w:qFormat/>
    <w:uiPriority w:val="0"/>
  </w:style>
  <w:style w:type="character" w:customStyle="1" w:styleId="102">
    <w:name w:val="标题 6 字符"/>
    <w:link w:val="7"/>
    <w:qFormat/>
    <w:uiPriority w:val="0"/>
    <w:rPr>
      <w:rFonts w:ascii="Arial" w:hAnsi="Arial" w:eastAsia="黑体"/>
      <w:b/>
      <w:kern w:val="2"/>
      <w:sz w:val="24"/>
      <w:szCs w:val="24"/>
    </w:rPr>
  </w:style>
  <w:style w:type="character" w:customStyle="1" w:styleId="103">
    <w:name w:val="页眉 字符"/>
    <w:link w:val="34"/>
    <w:qFormat/>
    <w:uiPriority w:val="99"/>
    <w:rPr>
      <w:rFonts w:ascii="楷体" w:eastAsia="Times New Roman"/>
      <w:sz w:val="18"/>
    </w:rPr>
  </w:style>
  <w:style w:type="character" w:customStyle="1" w:styleId="104">
    <w:name w:val="样式 样式 招股书正文 + 首行缩进:  2 字符 + 加粗 Char"/>
    <w:qFormat/>
    <w:uiPriority w:val="0"/>
    <w:rPr>
      <w:rFonts w:ascii="Arial" w:hAnsi="Arial" w:eastAsia="宋体" w:cs="宋体"/>
      <w:bCs/>
      <w:kern w:val="2"/>
      <w:sz w:val="24"/>
      <w:szCs w:val="24"/>
      <w:lang w:val="en-US" w:eastAsia="zh-CN" w:bidi="ar-SA"/>
    </w:rPr>
  </w:style>
  <w:style w:type="character" w:customStyle="1" w:styleId="105">
    <w:name w:val="HTML 预设格式 字符"/>
    <w:link w:val="47"/>
    <w:qFormat/>
    <w:uiPriority w:val="0"/>
    <w:rPr>
      <w:rFonts w:ascii="黑体" w:hAnsi="Courier New" w:eastAsia="黑体" w:cs="Arial Unicode MS"/>
    </w:rPr>
  </w:style>
  <w:style w:type="character" w:customStyle="1" w:styleId="106">
    <w:name w:val="unnamed81"/>
    <w:qFormat/>
    <w:uiPriority w:val="0"/>
    <w:rPr>
      <w:sz w:val="22"/>
      <w:szCs w:val="22"/>
    </w:rPr>
  </w:style>
  <w:style w:type="character" w:customStyle="1" w:styleId="107">
    <w:name w:val="font141"/>
    <w:qFormat/>
    <w:uiPriority w:val="0"/>
    <w:rPr>
      <w:rFonts w:hint="default" w:ascii="ˎ̥" w:hAnsi="ˎ̥"/>
      <w:sz w:val="21"/>
      <w:szCs w:val="21"/>
    </w:rPr>
  </w:style>
  <w:style w:type="character" w:customStyle="1" w:styleId="108">
    <w:name w:val="Char Char7"/>
    <w:qFormat/>
    <w:uiPriority w:val="0"/>
    <w:rPr>
      <w:rFonts w:eastAsia="宋体"/>
      <w:kern w:val="2"/>
      <w:sz w:val="21"/>
      <w:lang w:val="en-US" w:eastAsia="zh-CN" w:bidi="ar-SA"/>
    </w:rPr>
  </w:style>
  <w:style w:type="character" w:customStyle="1" w:styleId="109">
    <w:name w:val="font21"/>
    <w:qFormat/>
    <w:uiPriority w:val="0"/>
    <w:rPr>
      <w:color w:val="000000"/>
      <w:sz w:val="21"/>
      <w:szCs w:val="21"/>
      <w:u w:val="none"/>
    </w:rPr>
  </w:style>
  <w:style w:type="character" w:customStyle="1" w:styleId="110">
    <w:name w:val="tpt12hong21"/>
    <w:qFormat/>
    <w:uiPriority w:val="0"/>
    <w:rPr>
      <w:color w:val="F66017"/>
      <w:sz w:val="18"/>
      <w:szCs w:val="18"/>
    </w:rPr>
  </w:style>
  <w:style w:type="character" w:customStyle="1" w:styleId="111">
    <w:name w:val="副标题 字符"/>
    <w:link w:val="38"/>
    <w:qFormat/>
    <w:uiPriority w:val="11"/>
    <w:rPr>
      <w:rFonts w:ascii="Cambria" w:hAnsi="Cambria" w:cs="Times New Roman"/>
      <w:b/>
      <w:bCs/>
      <w:kern w:val="28"/>
      <w:sz w:val="32"/>
      <w:szCs w:val="32"/>
    </w:rPr>
  </w:style>
  <w:style w:type="character" w:customStyle="1" w:styleId="112">
    <w:name w:val="a11"/>
    <w:qFormat/>
    <w:uiPriority w:val="0"/>
    <w:rPr>
      <w:rFonts w:hint="default"/>
      <w:color w:val="000000"/>
      <w:spacing w:val="374"/>
      <w:sz w:val="22"/>
      <w:szCs w:val="22"/>
      <w:u w:val="none"/>
    </w:rPr>
  </w:style>
  <w:style w:type="character" w:customStyle="1" w:styleId="113">
    <w:name w:val="标题 9 字符"/>
    <w:link w:val="10"/>
    <w:qFormat/>
    <w:uiPriority w:val="0"/>
    <w:rPr>
      <w:rFonts w:ascii="Arial" w:hAnsi="Arial" w:eastAsia="黑体"/>
      <w:kern w:val="2"/>
      <w:sz w:val="21"/>
      <w:szCs w:val="24"/>
    </w:rPr>
  </w:style>
  <w:style w:type="character" w:customStyle="1" w:styleId="114">
    <w:name w:val="正文文本 2 字符"/>
    <w:link w:val="45"/>
    <w:qFormat/>
    <w:uiPriority w:val="99"/>
    <w:rPr>
      <w:rFonts w:ascii="宋体"/>
      <w:kern w:val="2"/>
      <w:sz w:val="24"/>
    </w:rPr>
  </w:style>
  <w:style w:type="character" w:customStyle="1" w:styleId="115">
    <w:name w:val="样式 楷体_GB2312 小四"/>
    <w:qFormat/>
    <w:uiPriority w:val="0"/>
    <w:rPr>
      <w:rFonts w:ascii="楷体_GB2312" w:hAnsi="楷体_GB2312" w:eastAsia="楷体_GB2312"/>
      <w:b/>
      <w:sz w:val="24"/>
    </w:rPr>
  </w:style>
  <w:style w:type="character" w:customStyle="1" w:styleId="116">
    <w:name w:val="签名 字符"/>
    <w:link w:val="35"/>
    <w:qFormat/>
    <w:uiPriority w:val="0"/>
    <w:rPr>
      <w:kern w:val="2"/>
      <w:sz w:val="21"/>
      <w:szCs w:val="24"/>
    </w:rPr>
  </w:style>
  <w:style w:type="character" w:customStyle="1" w:styleId="117">
    <w:name w:val="red_color1"/>
    <w:qFormat/>
    <w:uiPriority w:val="0"/>
    <w:rPr>
      <w:color w:val="990000"/>
    </w:rPr>
  </w:style>
  <w:style w:type="character" w:customStyle="1" w:styleId="118">
    <w:name w:val="da1"/>
    <w:qFormat/>
    <w:uiPriority w:val="0"/>
    <w:rPr>
      <w:rFonts w:hint="eastAsia" w:ascii="宋体" w:hAnsi="宋体" w:eastAsia="宋体"/>
      <w:color w:val="000000"/>
      <w:sz w:val="28"/>
      <w:szCs w:val="28"/>
      <w:u w:val="none"/>
    </w:rPr>
  </w:style>
  <w:style w:type="character" w:customStyle="1" w:styleId="119">
    <w:name w:val="deggli"/>
    <w:basedOn w:val="58"/>
    <w:qFormat/>
    <w:uiPriority w:val="0"/>
  </w:style>
  <w:style w:type="character" w:customStyle="1" w:styleId="120">
    <w:name w:val="页脚 字符"/>
    <w:link w:val="33"/>
    <w:qFormat/>
    <w:uiPriority w:val="99"/>
    <w:rPr>
      <w:rFonts w:ascii="楷体" w:eastAsia="Times New Roman"/>
      <w:sz w:val="18"/>
    </w:rPr>
  </w:style>
  <w:style w:type="character" w:customStyle="1" w:styleId="121">
    <w:name w:val="span_paramvalue"/>
    <w:basedOn w:val="58"/>
    <w:qFormat/>
    <w:uiPriority w:val="0"/>
  </w:style>
  <w:style w:type="character" w:customStyle="1" w:styleId="122">
    <w:name w:val="标题 1 字符"/>
    <w:link w:val="2"/>
    <w:qFormat/>
    <w:uiPriority w:val="0"/>
    <w:rPr>
      <w:rFonts w:eastAsia="黑体"/>
      <w:b/>
      <w:kern w:val="44"/>
      <w:sz w:val="32"/>
    </w:rPr>
  </w:style>
  <w:style w:type="character" w:customStyle="1" w:styleId="123">
    <w:name w:val="标题 7 字符"/>
    <w:link w:val="8"/>
    <w:qFormat/>
    <w:uiPriority w:val="0"/>
    <w:rPr>
      <w:b/>
      <w:kern w:val="2"/>
      <w:sz w:val="24"/>
      <w:szCs w:val="24"/>
    </w:rPr>
  </w:style>
  <w:style w:type="character" w:customStyle="1" w:styleId="124">
    <w:name w:val="正文文本 3 字符"/>
    <w:link w:val="19"/>
    <w:qFormat/>
    <w:uiPriority w:val="99"/>
    <w:rPr>
      <w:kern w:val="2"/>
      <w:sz w:val="16"/>
      <w:szCs w:val="16"/>
    </w:rPr>
  </w:style>
  <w:style w:type="character" w:customStyle="1" w:styleId="125">
    <w:name w:val="样式 楷体_GB2312"/>
    <w:qFormat/>
    <w:uiPriority w:val="0"/>
    <w:rPr>
      <w:rFonts w:ascii="楷体_GB2312" w:hAnsi="楷体_GB2312" w:eastAsia="楷体_GB2312"/>
      <w:b/>
    </w:rPr>
  </w:style>
  <w:style w:type="character" w:customStyle="1" w:styleId="126">
    <w:name w:val="Char1 Char Char"/>
    <w:link w:val="127"/>
    <w:qFormat/>
    <w:uiPriority w:val="0"/>
    <w:rPr>
      <w:rFonts w:ascii="Tahoma" w:hAnsi="Tahoma"/>
      <w:kern w:val="2"/>
      <w:sz w:val="24"/>
    </w:rPr>
  </w:style>
  <w:style w:type="paragraph" w:customStyle="1" w:styleId="127">
    <w:name w:val="Char12"/>
    <w:basedOn w:val="1"/>
    <w:link w:val="126"/>
    <w:qFormat/>
    <w:uiPriority w:val="0"/>
    <w:rPr>
      <w:rFonts w:ascii="Tahoma" w:hAnsi="Tahoma"/>
      <w:sz w:val="24"/>
      <w:szCs w:val="20"/>
    </w:rPr>
  </w:style>
  <w:style w:type="character" w:customStyle="1" w:styleId="128">
    <w:name w:val="t151"/>
    <w:qFormat/>
    <w:uiPriority w:val="0"/>
    <w:rPr>
      <w:rFonts w:hint="default" w:ascii="ˎ̥" w:hAnsi="ˎ̥"/>
      <w:color w:val="B34300"/>
      <w:sz w:val="18"/>
      <w:szCs w:val="18"/>
    </w:rPr>
  </w:style>
  <w:style w:type="character" w:customStyle="1" w:styleId="129">
    <w:name w:val="read1"/>
    <w:qFormat/>
    <w:uiPriority w:val="0"/>
    <w:rPr>
      <w:rFonts w:hint="default" w:ascii="ˎ̥" w:hAnsi="ˎ̥"/>
      <w:color w:val="000000"/>
      <w:u w:val="none"/>
    </w:rPr>
  </w:style>
  <w:style w:type="character" w:customStyle="1" w:styleId="130">
    <w:name w:val="正文文本首行缩进 字符"/>
    <w:link w:val="52"/>
    <w:qFormat/>
    <w:uiPriority w:val="0"/>
    <w:rPr>
      <w:rFonts w:ascii="仿宋_GB2312" w:eastAsia="仿宋_GB2312"/>
      <w:kern w:val="2"/>
      <w:sz w:val="28"/>
      <w:szCs w:val="24"/>
      <w:lang w:val="en-US" w:eastAsia="zh-CN" w:bidi="ar-SA"/>
    </w:rPr>
  </w:style>
  <w:style w:type="character" w:customStyle="1" w:styleId="131">
    <w:name w:val="jtpsoft1"/>
    <w:qFormat/>
    <w:uiPriority w:val="0"/>
    <w:rPr>
      <w:color w:val="26548B"/>
      <w:spacing w:val="456"/>
      <w:sz w:val="18"/>
      <w:szCs w:val="18"/>
    </w:rPr>
  </w:style>
  <w:style w:type="character" w:customStyle="1" w:styleId="132">
    <w:name w:val="正文文本 字符"/>
    <w:link w:val="20"/>
    <w:qFormat/>
    <w:uiPriority w:val="99"/>
    <w:rPr>
      <w:rFonts w:eastAsia="宋体"/>
      <w:kern w:val="2"/>
      <w:sz w:val="21"/>
      <w:szCs w:val="24"/>
      <w:lang w:val="en-US" w:eastAsia="zh-CN" w:bidi="ar-SA"/>
    </w:rPr>
  </w:style>
  <w:style w:type="character" w:customStyle="1" w:styleId="133">
    <w:name w:val="普通(网站) 字符"/>
    <w:link w:val="48"/>
    <w:qFormat/>
    <w:uiPriority w:val="99"/>
    <w:rPr>
      <w:rFonts w:ascii="宋体" w:hAnsi="宋体"/>
      <w:color w:val="000000"/>
      <w:sz w:val="24"/>
      <w:szCs w:val="24"/>
    </w:rPr>
  </w:style>
  <w:style w:type="character" w:customStyle="1" w:styleId="134">
    <w:name w:val="标题 5 字符"/>
    <w:link w:val="6"/>
    <w:qFormat/>
    <w:uiPriority w:val="0"/>
    <w:rPr>
      <w:rFonts w:eastAsia="Arial Unicode MS"/>
      <w:b/>
      <w:kern w:val="2"/>
      <w:sz w:val="28"/>
      <w:szCs w:val="24"/>
    </w:rPr>
  </w:style>
  <w:style w:type="character" w:customStyle="1" w:styleId="135">
    <w:name w:val="正文文本缩进 2 字符"/>
    <w:link w:val="30"/>
    <w:qFormat/>
    <w:uiPriority w:val="99"/>
    <w:rPr>
      <w:rFonts w:ascii="仿宋_GB2312" w:eastAsia="仿宋_GB2312"/>
      <w:kern w:val="2"/>
      <w:sz w:val="28"/>
      <w:szCs w:val="24"/>
    </w:rPr>
  </w:style>
  <w:style w:type="character" w:customStyle="1" w:styleId="136">
    <w:name w:val="样式 招股书正文 + (符号) Arial 加粗 Char Char"/>
    <w:qFormat/>
    <w:uiPriority w:val="0"/>
    <w:rPr>
      <w:rFonts w:ascii="Arial" w:hAnsi="Arial" w:eastAsia="宋体"/>
      <w:bCs/>
      <w:kern w:val="2"/>
      <w:sz w:val="24"/>
      <w:szCs w:val="24"/>
      <w:lang w:val="en-US" w:eastAsia="zh-CN" w:bidi="ar-SA"/>
    </w:rPr>
  </w:style>
  <w:style w:type="character" w:customStyle="1" w:styleId="137">
    <w:name w:val="txt1"/>
    <w:qFormat/>
    <w:uiPriority w:val="0"/>
    <w:rPr>
      <w:rFonts w:hint="eastAsia" w:ascii="宋体" w:hAnsi="宋体" w:eastAsia="宋体"/>
      <w:color w:val="000000"/>
      <w:sz w:val="16"/>
      <w:szCs w:val="16"/>
      <w:u w:val="none"/>
    </w:rPr>
  </w:style>
  <w:style w:type="character" w:customStyle="1" w:styleId="138">
    <w:name w:val="f31"/>
    <w:qFormat/>
    <w:uiPriority w:val="0"/>
    <w:rPr>
      <w:spacing w:val="375"/>
      <w:sz w:val="18"/>
      <w:szCs w:val="18"/>
      <w:u w:val="none"/>
    </w:rPr>
  </w:style>
  <w:style w:type="character" w:customStyle="1" w:styleId="139">
    <w:name w:val="md2"/>
    <w:qFormat/>
    <w:uiPriority w:val="0"/>
    <w:rPr>
      <w:sz w:val="22"/>
      <w:szCs w:val="22"/>
    </w:rPr>
  </w:style>
  <w:style w:type="character" w:customStyle="1" w:styleId="140">
    <w:name w:val="style61"/>
    <w:qFormat/>
    <w:uiPriority w:val="0"/>
    <w:rPr>
      <w:b/>
      <w:bCs/>
      <w:color w:val="CC0000"/>
      <w:sz w:val="33"/>
      <w:szCs w:val="33"/>
    </w:rPr>
  </w:style>
  <w:style w:type="character" w:customStyle="1" w:styleId="141">
    <w:name w:val="huei12b"/>
    <w:basedOn w:val="58"/>
    <w:qFormat/>
    <w:uiPriority w:val="0"/>
  </w:style>
  <w:style w:type="character" w:customStyle="1" w:styleId="142">
    <w:name w:val="样式 二号 加粗"/>
    <w:qFormat/>
    <w:uiPriority w:val="0"/>
    <w:rPr>
      <w:b/>
      <w:bCs/>
      <w:sz w:val="44"/>
    </w:rPr>
  </w:style>
  <w:style w:type="character" w:customStyle="1" w:styleId="143">
    <w:name w:val="文档结构图 字符"/>
    <w:link w:val="17"/>
    <w:qFormat/>
    <w:uiPriority w:val="0"/>
    <w:rPr>
      <w:rFonts w:ascii="宋体"/>
      <w:kern w:val="2"/>
      <w:sz w:val="18"/>
      <w:szCs w:val="18"/>
    </w:rPr>
  </w:style>
  <w:style w:type="character" w:customStyle="1" w:styleId="144">
    <w:name w:val="标题 4 字符"/>
    <w:link w:val="5"/>
    <w:qFormat/>
    <w:uiPriority w:val="0"/>
    <w:rPr>
      <w:rFonts w:ascii="Arial" w:hAnsi="Arial" w:eastAsia="黑体"/>
      <w:b/>
      <w:kern w:val="2"/>
      <w:sz w:val="28"/>
      <w:szCs w:val="24"/>
    </w:rPr>
  </w:style>
  <w:style w:type="character" w:customStyle="1" w:styleId="145">
    <w:name w:val="日期 字符"/>
    <w:link w:val="29"/>
    <w:qFormat/>
    <w:uiPriority w:val="99"/>
    <w:rPr>
      <w:sz w:val="21"/>
    </w:rPr>
  </w:style>
  <w:style w:type="character" w:customStyle="1" w:styleId="146">
    <w:name w:val="批注主题 字符"/>
    <w:link w:val="51"/>
    <w:qFormat/>
    <w:uiPriority w:val="0"/>
    <w:rPr>
      <w:rFonts w:ascii="仿宋_GB2312" w:eastAsia="仿宋_GB2312"/>
      <w:b/>
      <w:bCs/>
      <w:kern w:val="2"/>
      <w:sz w:val="21"/>
      <w:szCs w:val="24"/>
    </w:rPr>
  </w:style>
  <w:style w:type="character" w:customStyle="1" w:styleId="147">
    <w:name w:val="样式 小四 加粗"/>
    <w:qFormat/>
    <w:uiPriority w:val="0"/>
    <w:rPr>
      <w:rFonts w:ascii="Arial" w:hAnsi="Arial"/>
      <w:bCs/>
      <w:sz w:val="24"/>
    </w:rPr>
  </w:style>
  <w:style w:type="character" w:customStyle="1" w:styleId="148">
    <w:name w:val="dsfd"/>
    <w:basedOn w:val="58"/>
    <w:qFormat/>
    <w:uiPriority w:val="0"/>
  </w:style>
  <w:style w:type="character" w:customStyle="1" w:styleId="149">
    <w:name w:val="14zihong_cu1"/>
    <w:qFormat/>
    <w:uiPriority w:val="0"/>
    <w:rPr>
      <w:b/>
      <w:bCs/>
      <w:sz w:val="18"/>
      <w:szCs w:val="18"/>
      <w:u w:val="none"/>
    </w:rPr>
  </w:style>
  <w:style w:type="paragraph" w:customStyle="1" w:styleId="150">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kern w:val="0"/>
      <w:sz w:val="18"/>
      <w:szCs w:val="18"/>
    </w:rPr>
  </w:style>
  <w:style w:type="paragraph" w:customStyle="1" w:styleId="151">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2">
    <w:name w:val="Char Char Char"/>
    <w:basedOn w:val="1"/>
    <w:qFormat/>
    <w:uiPriority w:val="0"/>
    <w:rPr>
      <w:rFonts w:ascii="Tahoma" w:hAnsi="Tahoma"/>
      <w:sz w:val="24"/>
      <w:szCs w:val="20"/>
    </w:rPr>
  </w:style>
  <w:style w:type="paragraph" w:customStyle="1" w:styleId="153">
    <w:name w:val="正文5"/>
    <w:basedOn w:val="30"/>
    <w:qFormat/>
    <w:uiPriority w:val="0"/>
    <w:pPr>
      <w:adjustRightInd/>
      <w:snapToGrid/>
      <w:ind w:firstLine="539"/>
    </w:pPr>
    <w:rPr>
      <w:szCs w:val="20"/>
    </w:rPr>
  </w:style>
  <w:style w:type="paragraph" w:customStyle="1" w:styleId="154">
    <w:name w:val="fig"/>
    <w:basedOn w:val="1"/>
    <w:qFormat/>
    <w:uiPriority w:val="0"/>
    <w:pPr>
      <w:adjustRightInd w:val="0"/>
      <w:snapToGrid w:val="0"/>
      <w:spacing w:line="384" w:lineRule="auto"/>
      <w:ind w:firstLine="632" w:firstLineChars="300"/>
      <w:jc w:val="center"/>
    </w:pPr>
    <w:rPr>
      <w:rFonts w:ascii="宋体" w:hAnsi="宋体"/>
      <w:b/>
      <w:szCs w:val="20"/>
    </w:rPr>
  </w:style>
  <w:style w:type="paragraph" w:customStyle="1" w:styleId="155">
    <w:name w:val="1"/>
    <w:basedOn w:val="1"/>
    <w:qFormat/>
    <w:uiPriority w:val="0"/>
    <w:rPr>
      <w:rFonts w:ascii="Tahoma" w:hAnsi="Tahoma"/>
      <w:sz w:val="24"/>
      <w:szCs w:val="20"/>
    </w:rPr>
  </w:style>
  <w:style w:type="paragraph" w:customStyle="1" w:styleId="156">
    <w:name w:val="默认段落字体 Para Char Char Char Char Char Char Char"/>
    <w:basedOn w:val="1"/>
    <w:qFormat/>
    <w:uiPriority w:val="0"/>
    <w:rPr>
      <w:rFonts w:ascii="Tahoma" w:hAnsi="Tahoma"/>
      <w:sz w:val="24"/>
      <w:szCs w:val="20"/>
    </w:rPr>
  </w:style>
  <w:style w:type="paragraph" w:customStyle="1" w:styleId="157">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58">
    <w:name w:val="H2"/>
    <w:basedOn w:val="1"/>
    <w:qFormat/>
    <w:uiPriority w:val="0"/>
    <w:pPr>
      <w:widowControl/>
      <w:adjustRightInd w:val="0"/>
      <w:spacing w:before="240" w:after="240" w:line="360" w:lineRule="atLeast"/>
      <w:ind w:right="28"/>
      <w:textAlignment w:val="baseline"/>
    </w:pPr>
    <w:rPr>
      <w:rFonts w:ascii="黑体" w:eastAsia="黑体"/>
      <w:b/>
      <w:kern w:val="0"/>
      <w:sz w:val="28"/>
      <w:szCs w:val="20"/>
    </w:rPr>
  </w:style>
  <w:style w:type="paragraph" w:customStyle="1" w:styleId="15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Narrow" w:hAnsi="Arial Narrow" w:eastAsia="Arial Unicode MS" w:cs="Arial Unicode MS"/>
      <w:kern w:val="0"/>
      <w:sz w:val="20"/>
      <w:szCs w:val="20"/>
    </w:rPr>
  </w:style>
  <w:style w:type="paragraph" w:customStyle="1" w:styleId="160">
    <w:name w:val="xl57"/>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61">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62">
    <w:name w:val="Enclosure"/>
    <w:basedOn w:val="20"/>
    <w:next w:val="1"/>
    <w:qFormat/>
    <w:uiPriority w:val="0"/>
    <w:pPr>
      <w:keepNext/>
      <w:keepLines/>
      <w:widowControl/>
      <w:overflowPunct w:val="0"/>
      <w:autoSpaceDE w:val="0"/>
      <w:autoSpaceDN w:val="0"/>
      <w:adjustRightInd w:val="0"/>
      <w:spacing w:after="240" w:line="240" w:lineRule="atLeast"/>
      <w:textAlignment w:val="baseline"/>
    </w:pPr>
    <w:rPr>
      <w:rFonts w:ascii="Garamond" w:hAnsi="Garamond" w:eastAsia="仿宋_GB2312"/>
      <w:kern w:val="18"/>
      <w:sz w:val="28"/>
      <w:szCs w:val="20"/>
    </w:rPr>
  </w:style>
  <w:style w:type="paragraph" w:customStyle="1" w:styleId="163">
    <w:name w:val="_Style 27"/>
    <w:basedOn w:val="1"/>
    <w:qFormat/>
    <w:uiPriority w:val="0"/>
    <w:rPr>
      <w:rFonts w:ascii="Tahoma" w:hAnsi="Tahoma"/>
      <w:sz w:val="24"/>
      <w:szCs w:val="20"/>
    </w:rPr>
  </w:style>
  <w:style w:type="paragraph" w:customStyle="1" w:styleId="164">
    <w:name w:val="×Ó±êÌâ2"/>
    <w:basedOn w:val="1"/>
    <w:qFormat/>
    <w:uiPriority w:val="0"/>
    <w:pPr>
      <w:widowControl/>
      <w:overflowPunct w:val="0"/>
      <w:autoSpaceDE w:val="0"/>
      <w:autoSpaceDN w:val="0"/>
      <w:adjustRightInd w:val="0"/>
      <w:spacing w:after="140" w:line="360" w:lineRule="auto"/>
      <w:ind w:left="-383"/>
      <w:textAlignment w:val="baseline"/>
    </w:pPr>
    <w:rPr>
      <w:rFonts w:ascii="Arial" w:hAnsi="Arial"/>
      <w:kern w:val="0"/>
      <w:sz w:val="28"/>
      <w:szCs w:val="20"/>
    </w:rPr>
  </w:style>
  <w:style w:type="paragraph" w:customStyle="1" w:styleId="165">
    <w:name w:val="Char2 Char Char1 Char Char Char Char Char Char Char Char Char"/>
    <w:basedOn w:val="1"/>
    <w:qFormat/>
    <w:uiPriority w:val="0"/>
    <w:rPr>
      <w:rFonts w:ascii="Tahoma" w:hAnsi="Tahoma"/>
      <w:sz w:val="24"/>
      <w:szCs w:val="20"/>
    </w:rPr>
  </w:style>
  <w:style w:type="paragraph" w:customStyle="1" w:styleId="16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Narrow" w:hAnsi="Arial Narrow" w:eastAsia="Arial Unicode MS" w:cs="Arial Unicode MS"/>
      <w:kern w:val="0"/>
      <w:sz w:val="20"/>
      <w:szCs w:val="20"/>
    </w:rPr>
  </w:style>
  <w:style w:type="paragraph" w:customStyle="1" w:styleId="16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6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69">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70">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7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7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0"/>
      <w:szCs w:val="20"/>
    </w:rPr>
  </w:style>
  <w:style w:type="paragraph" w:customStyle="1" w:styleId="173">
    <w:name w:val="xl78"/>
    <w:basedOn w:val="1"/>
    <w:qFormat/>
    <w:uiPriority w:val="0"/>
    <w:pPr>
      <w:widowControl/>
      <w:shd w:val="clear" w:color="auto" w:fill="FFFFFF"/>
      <w:spacing w:before="100" w:beforeAutospacing="1" w:after="100" w:afterAutospacing="1"/>
      <w:jc w:val="right"/>
    </w:pPr>
    <w:rPr>
      <w:rFonts w:hint="eastAsia" w:ascii="仿宋_GB2312" w:hAnsi="Arial Unicode MS" w:eastAsia="仿宋_GB2312" w:cs="Arial Unicode MS"/>
      <w:kern w:val="0"/>
      <w:sz w:val="20"/>
      <w:szCs w:val="20"/>
    </w:rPr>
  </w:style>
  <w:style w:type="paragraph" w:customStyle="1" w:styleId="1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eastAsia="Arial Unicode MS"/>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76">
    <w:name w:val="H4"/>
    <w:basedOn w:val="1"/>
    <w:qFormat/>
    <w:uiPriority w:val="0"/>
    <w:pPr>
      <w:widowControl/>
      <w:adjustRightInd w:val="0"/>
      <w:spacing w:before="120" w:after="120" w:line="360" w:lineRule="exact"/>
      <w:ind w:right="28" w:firstLine="425"/>
      <w:textAlignment w:val="baseline"/>
    </w:pPr>
    <w:rPr>
      <w:rFonts w:ascii="宋体"/>
      <w:b/>
      <w:kern w:val="0"/>
      <w:sz w:val="24"/>
      <w:szCs w:val="20"/>
    </w:rPr>
  </w:style>
  <w:style w:type="paragraph" w:customStyle="1" w:styleId="177">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7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4"/>
    </w:rPr>
  </w:style>
  <w:style w:type="paragraph" w:customStyle="1" w:styleId="181">
    <w:name w:val="表格内容"/>
    <w:basedOn w:val="1"/>
    <w:qFormat/>
    <w:uiPriority w:val="0"/>
    <w:pPr>
      <w:widowControl/>
      <w:autoSpaceDE w:val="0"/>
      <w:autoSpaceDN w:val="0"/>
      <w:adjustRightInd w:val="0"/>
      <w:spacing w:before="60" w:line="300" w:lineRule="auto"/>
      <w:jc w:val="center"/>
      <w:textAlignment w:val="bottom"/>
    </w:pPr>
    <w:rPr>
      <w:rFonts w:ascii="Arial" w:hAnsi="Arial" w:eastAsia="楷体_GB2312"/>
      <w:spacing w:val="-25"/>
      <w:kern w:val="0"/>
      <w:sz w:val="24"/>
      <w:szCs w:val="20"/>
    </w:rPr>
  </w:style>
  <w:style w:type="paragraph" w:customStyle="1" w:styleId="182">
    <w:name w:val="xl60"/>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kern w:val="0"/>
      <w:sz w:val="20"/>
      <w:szCs w:val="20"/>
    </w:rPr>
  </w:style>
  <w:style w:type="paragraph" w:customStyle="1" w:styleId="183">
    <w:name w:val="H1"/>
    <w:basedOn w:val="2"/>
    <w:qFormat/>
    <w:uiPriority w:val="0"/>
    <w:pPr>
      <w:keepNext w:val="0"/>
      <w:keepLines w:val="0"/>
      <w:widowControl/>
      <w:adjustRightInd w:val="0"/>
      <w:spacing w:before="240" w:after="240" w:line="360" w:lineRule="atLeast"/>
      <w:ind w:right="57"/>
      <w:jc w:val="center"/>
      <w:textAlignment w:val="baseline"/>
      <w:outlineLvl w:val="9"/>
    </w:pPr>
    <w:rPr>
      <w:rFonts w:ascii="黑体"/>
      <w:kern w:val="0"/>
      <w:sz w:val="30"/>
    </w:rPr>
  </w:style>
  <w:style w:type="paragraph" w:customStyle="1" w:styleId="184">
    <w:name w:val="table"/>
    <w:basedOn w:val="1"/>
    <w:qFormat/>
    <w:uiPriority w:val="0"/>
    <w:pPr>
      <w:widowControl/>
      <w:adjustRightInd w:val="0"/>
      <w:spacing w:before="240" w:after="120" w:line="360" w:lineRule="atLeast"/>
      <w:ind w:firstLine="425"/>
      <w:jc w:val="center"/>
      <w:textAlignment w:val="baseline"/>
    </w:pPr>
    <w:rPr>
      <w:rFonts w:ascii="黑体" w:eastAsia="黑体"/>
      <w:b/>
      <w:kern w:val="0"/>
      <w:sz w:val="24"/>
      <w:szCs w:val="20"/>
    </w:rPr>
  </w:style>
  <w:style w:type="paragraph" w:customStyle="1" w:styleId="185">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86">
    <w:name w:val="Char"/>
    <w:basedOn w:val="1"/>
    <w:qFormat/>
    <w:uiPriority w:val="0"/>
    <w:rPr>
      <w:rFonts w:ascii="Tahoma" w:hAnsi="Tahoma"/>
      <w:sz w:val="24"/>
      <w:szCs w:val="20"/>
    </w:rPr>
  </w:style>
  <w:style w:type="paragraph" w:customStyle="1" w:styleId="18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88">
    <w:name w:val="H3"/>
    <w:basedOn w:val="158"/>
    <w:qFormat/>
    <w:uiPriority w:val="0"/>
    <w:pPr>
      <w:spacing w:before="120" w:after="120"/>
    </w:pPr>
    <w:rPr>
      <w:rFonts w:ascii="宋体" w:eastAsia="宋体"/>
      <w:sz w:val="24"/>
    </w:rPr>
  </w:style>
  <w:style w:type="paragraph" w:customStyle="1" w:styleId="189">
    <w:name w:val="ZWBT"/>
    <w:basedOn w:val="1"/>
    <w:qFormat/>
    <w:uiPriority w:val="0"/>
    <w:pPr>
      <w:autoSpaceDE w:val="0"/>
      <w:autoSpaceDN w:val="0"/>
      <w:adjustRightInd w:val="0"/>
      <w:spacing w:before="240" w:after="120" w:line="440" w:lineRule="atLeast"/>
      <w:ind w:left="601" w:right="386"/>
      <w:textAlignment w:val="bottom"/>
    </w:pPr>
    <w:rPr>
      <w:rFonts w:ascii="黑体" w:hAnsi="Arial" w:eastAsia="黑体"/>
      <w:kern w:val="0"/>
      <w:sz w:val="32"/>
      <w:szCs w:val="20"/>
    </w:rPr>
  </w:style>
  <w:style w:type="paragraph" w:customStyle="1" w:styleId="190">
    <w:name w:val="Char1"/>
    <w:basedOn w:val="1"/>
    <w:qFormat/>
    <w:uiPriority w:val="0"/>
  </w:style>
  <w:style w:type="paragraph" w:customStyle="1" w:styleId="191">
    <w:name w:val="图"/>
    <w:basedOn w:val="1"/>
    <w:qFormat/>
    <w:uiPriority w:val="0"/>
    <w:pPr>
      <w:ind w:firstLine="420" w:firstLineChars="200"/>
    </w:pPr>
    <w:rPr>
      <w:szCs w:val="21"/>
    </w:rPr>
  </w:style>
  <w:style w:type="paragraph" w:customStyle="1" w:styleId="192">
    <w:name w:val="样式9"/>
    <w:basedOn w:val="1"/>
    <w:qFormat/>
    <w:uiPriority w:val="0"/>
    <w:pPr>
      <w:spacing w:line="320" w:lineRule="atLeast"/>
    </w:pPr>
    <w:rPr>
      <w:rFonts w:ascii="楷体_GB2312" w:eastAsia="楷体_GB2312"/>
      <w:spacing w:val="20"/>
      <w:sz w:val="28"/>
      <w:szCs w:val="20"/>
    </w:rPr>
  </w:style>
  <w:style w:type="paragraph" w:customStyle="1" w:styleId="193">
    <w:name w:val="XBT"/>
    <w:basedOn w:val="1"/>
    <w:qFormat/>
    <w:uiPriority w:val="0"/>
    <w:pPr>
      <w:adjustRightInd w:val="0"/>
      <w:spacing w:before="360" w:after="120" w:line="440" w:lineRule="atLeast"/>
      <w:textAlignment w:val="baseline"/>
    </w:pPr>
    <w:rPr>
      <w:rFonts w:eastAsia="黑体"/>
      <w:b/>
      <w:kern w:val="0"/>
      <w:sz w:val="30"/>
      <w:szCs w:val="20"/>
    </w:rPr>
  </w:style>
  <w:style w:type="paragraph" w:customStyle="1" w:styleId="19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5">
    <w:name w:val="l18"/>
    <w:basedOn w:val="1"/>
    <w:qFormat/>
    <w:uiPriority w:val="0"/>
    <w:pPr>
      <w:widowControl/>
      <w:spacing w:before="100" w:beforeAutospacing="1" w:after="100" w:afterAutospacing="1"/>
      <w:jc w:val="left"/>
    </w:pPr>
    <w:rPr>
      <w:rFonts w:ascii="宋体" w:hAnsi="宋体"/>
      <w:color w:val="000000"/>
      <w:kern w:val="0"/>
      <w:sz w:val="14"/>
      <w:szCs w:val="14"/>
    </w:rPr>
  </w:style>
  <w:style w:type="paragraph" w:customStyle="1" w:styleId="196">
    <w:name w:val="xl76"/>
    <w:basedOn w:val="1"/>
    <w:qFormat/>
    <w:uiPriority w:val="0"/>
    <w:pPr>
      <w:widowControl/>
      <w:spacing w:before="100" w:beforeAutospacing="1" w:after="100" w:afterAutospacing="1"/>
      <w:jc w:val="left"/>
      <w:textAlignment w:val="bottom"/>
    </w:pPr>
    <w:rPr>
      <w:rFonts w:eastAsia="Arial Unicode MS"/>
      <w:kern w:val="0"/>
      <w:sz w:val="20"/>
      <w:szCs w:val="20"/>
    </w:rPr>
  </w:style>
  <w:style w:type="paragraph" w:customStyle="1" w:styleId="197">
    <w:name w:val="font11"/>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198">
    <w:name w:val="font7"/>
    <w:basedOn w:val="1"/>
    <w:qFormat/>
    <w:uiPriority w:val="0"/>
    <w:pPr>
      <w:widowControl/>
      <w:spacing w:before="100" w:beforeAutospacing="1" w:after="100" w:afterAutospacing="1"/>
      <w:jc w:val="left"/>
    </w:pPr>
    <w:rPr>
      <w:kern w:val="0"/>
      <w:sz w:val="24"/>
    </w:rPr>
  </w:style>
  <w:style w:type="paragraph" w:customStyle="1" w:styleId="199">
    <w:name w:val="font1"/>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00">
    <w:name w:val="4"/>
    <w:basedOn w:val="1"/>
    <w:next w:val="48"/>
    <w:qFormat/>
    <w:uiPriority w:val="0"/>
    <w:pPr>
      <w:snapToGrid w:val="0"/>
      <w:spacing w:line="300" w:lineRule="auto"/>
      <w:ind w:firstLine="556"/>
    </w:pPr>
    <w:rPr>
      <w:rFonts w:eastAsia="仿宋_GB2312"/>
      <w:sz w:val="24"/>
    </w:rPr>
  </w:style>
  <w:style w:type="paragraph" w:customStyle="1" w:styleId="201">
    <w:name w:val="xl3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2">
    <w:name w:val="Char Char Char Char Char Char Char"/>
    <w:basedOn w:val="1"/>
    <w:qFormat/>
    <w:uiPriority w:val="0"/>
    <w:pPr>
      <w:widowControl/>
      <w:spacing w:after="160" w:line="240" w:lineRule="exact"/>
      <w:jc w:val="left"/>
    </w:pPr>
    <w:rPr>
      <w:rFonts w:eastAsia="Times New Roman" w:cs="Angsana New"/>
      <w:kern w:val="0"/>
      <w:sz w:val="20"/>
      <w:szCs w:val="20"/>
      <w:lang w:bidi="th-TH"/>
    </w:rPr>
  </w:style>
  <w:style w:type="paragraph" w:customStyle="1" w:styleId="203">
    <w:name w:val="简单回函地址"/>
    <w:basedOn w:val="1"/>
    <w:qFormat/>
    <w:uiPriority w:val="0"/>
    <w:rPr>
      <w:szCs w:val="20"/>
    </w:rPr>
  </w:style>
  <w:style w:type="paragraph" w:customStyle="1" w:styleId="204">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sz w:val="24"/>
      <w:lang w:val="en-US" w:eastAsia="en-US" w:bidi="ar-SA"/>
    </w:rPr>
  </w:style>
  <w:style w:type="paragraph" w:customStyle="1" w:styleId="205">
    <w:name w:val="陈式标题3"/>
    <w:basedOn w:val="206"/>
    <w:qFormat/>
    <w:uiPriority w:val="0"/>
    <w:pPr>
      <w:spacing w:after="480"/>
    </w:pPr>
    <w:rPr>
      <w:rFonts w:ascii="宋体" w:hAnsi="宋体" w:eastAsia="宋体"/>
      <w:b/>
      <w:spacing w:val="0"/>
      <w:kern w:val="2"/>
      <w:sz w:val="36"/>
    </w:rPr>
  </w:style>
  <w:style w:type="paragraph" w:customStyle="1" w:styleId="206">
    <w:name w:val="陈式标题2"/>
    <w:qFormat/>
    <w:uiPriority w:val="0"/>
    <w:pPr>
      <w:spacing w:before="240" w:after="360" w:line="300" w:lineRule="auto"/>
      <w:ind w:firstLine="567"/>
      <w:jc w:val="center"/>
      <w:outlineLvl w:val="0"/>
    </w:pPr>
    <w:rPr>
      <w:rFonts w:ascii="Times New Roman" w:hAnsi="Times New Roman" w:eastAsia="黑体" w:cs="Times New Roman"/>
      <w:spacing w:val="20"/>
      <w:kern w:val="44"/>
      <w:sz w:val="44"/>
      <w:lang w:val="en-US" w:eastAsia="zh-CN" w:bidi="ar-SA"/>
    </w:rPr>
  </w:style>
  <w:style w:type="paragraph" w:customStyle="1" w:styleId="207">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9">
    <w:name w:val="附注－标题五"/>
    <w:basedOn w:val="1"/>
    <w:next w:val="210"/>
    <w:qFormat/>
    <w:uiPriority w:val="0"/>
    <w:pPr>
      <w:tabs>
        <w:tab w:val="left" w:pos="720"/>
      </w:tabs>
      <w:adjustRightInd w:val="0"/>
      <w:snapToGrid w:val="0"/>
      <w:spacing w:before="120" w:afterLines="50" w:line="360" w:lineRule="auto"/>
    </w:pPr>
    <w:rPr>
      <w:rFonts w:ascii="Arial Narrow" w:hAnsi="Arial Narrow"/>
      <w:b/>
      <w:szCs w:val="21"/>
    </w:rPr>
  </w:style>
  <w:style w:type="paragraph" w:customStyle="1" w:styleId="210">
    <w:name w:val="附注－正文"/>
    <w:basedOn w:val="21"/>
    <w:qFormat/>
    <w:uiPriority w:val="0"/>
    <w:pPr>
      <w:snapToGrid w:val="0"/>
      <w:spacing w:afterLines="50" w:line="360" w:lineRule="auto"/>
      <w:ind w:firstLine="200" w:firstLineChars="200"/>
      <w:textAlignment w:val="auto"/>
    </w:pPr>
    <w:rPr>
      <w:rFonts w:ascii="Times New Roman" w:eastAsia="宋体"/>
      <w:kern w:val="2"/>
      <w:sz w:val="21"/>
    </w:rPr>
  </w:style>
  <w:style w:type="paragraph" w:customStyle="1" w:styleId="211">
    <w:name w:val="样式 两端对齐 行距: 1.5 倍行距"/>
    <w:basedOn w:val="1"/>
    <w:qFormat/>
    <w:uiPriority w:val="0"/>
    <w:pPr>
      <w:autoSpaceDE w:val="0"/>
      <w:autoSpaceDN w:val="0"/>
      <w:adjustRightInd w:val="0"/>
      <w:spacing w:line="360" w:lineRule="auto"/>
      <w:ind w:firstLine="560" w:firstLineChars="200"/>
    </w:pPr>
    <w:rPr>
      <w:rFonts w:ascii="仿宋_GB2312" w:eastAsia="仿宋_GB2312"/>
      <w:kern w:val="0"/>
      <w:sz w:val="28"/>
      <w:szCs w:val="20"/>
    </w:rPr>
  </w:style>
  <w:style w:type="paragraph" w:customStyle="1" w:styleId="21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1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4">
    <w:name w:val="陈式标题8"/>
    <w:basedOn w:val="1"/>
    <w:qFormat/>
    <w:uiPriority w:val="0"/>
    <w:pPr>
      <w:widowControl/>
      <w:jc w:val="left"/>
      <w:outlineLvl w:val="2"/>
    </w:pPr>
    <w:rPr>
      <w:rFonts w:hAnsi="宋体"/>
      <w:bCs/>
      <w:kern w:val="32"/>
      <w:sz w:val="28"/>
      <w:szCs w:val="21"/>
      <w:bdr w:val="single" w:color="auto" w:sz="4" w:space="0"/>
    </w:rPr>
  </w:style>
  <w:style w:type="paragraph" w:customStyle="1" w:styleId="215">
    <w:name w:val="正文1"/>
    <w:basedOn w:val="1"/>
    <w:qFormat/>
    <w:uiPriority w:val="0"/>
    <w:pPr>
      <w:adjustRightInd w:val="0"/>
      <w:spacing w:line="420" w:lineRule="atLeast"/>
      <w:ind w:firstLine="595"/>
      <w:jc w:val="left"/>
      <w:textAlignment w:val="baseline"/>
    </w:pPr>
    <w:rPr>
      <w:rFonts w:eastAsia="昆仑楷体"/>
      <w:spacing w:val="6"/>
      <w:kern w:val="28"/>
      <w:sz w:val="28"/>
      <w:szCs w:val="20"/>
    </w:rPr>
  </w:style>
  <w:style w:type="paragraph" w:customStyle="1" w:styleId="216">
    <w:name w:val="正文2"/>
    <w:qFormat/>
    <w:uiPriority w:val="0"/>
    <w:pPr>
      <w:widowControl w:val="0"/>
      <w:adjustRightInd w:val="0"/>
      <w:spacing w:line="360" w:lineRule="auto"/>
      <w:ind w:firstLine="561"/>
      <w:jc w:val="both"/>
      <w:textAlignment w:val="baseline"/>
    </w:pPr>
    <w:rPr>
      <w:rFonts w:ascii="宋体" w:hAnsi="Times New Roman" w:eastAsia="宋体" w:cs="Times New Roman"/>
      <w:sz w:val="28"/>
      <w:lang w:val="en-US" w:eastAsia="zh-CN" w:bidi="ar-SA"/>
    </w:rPr>
  </w:style>
  <w:style w:type="paragraph" w:customStyle="1" w:styleId="217">
    <w:name w:val="陈定正文C"/>
    <w:basedOn w:val="218"/>
    <w:qFormat/>
    <w:uiPriority w:val="0"/>
  </w:style>
  <w:style w:type="paragraph" w:customStyle="1" w:styleId="218">
    <w:name w:val="陈定正文A"/>
    <w:basedOn w:val="1"/>
    <w:qFormat/>
    <w:uiPriority w:val="0"/>
    <w:pPr>
      <w:spacing w:line="312" w:lineRule="auto"/>
      <w:ind w:left="680" w:firstLine="578"/>
    </w:pPr>
    <w:rPr>
      <w:sz w:val="24"/>
      <w:szCs w:val="20"/>
    </w:rPr>
  </w:style>
  <w:style w:type="paragraph" w:customStyle="1" w:styleId="219">
    <w:name w:val="Plain Text1"/>
    <w:basedOn w:val="1"/>
    <w:qFormat/>
    <w:uiPriority w:val="0"/>
    <w:pPr>
      <w:autoSpaceDE w:val="0"/>
      <w:autoSpaceDN w:val="0"/>
      <w:adjustRightInd w:val="0"/>
      <w:textAlignment w:val="baseline"/>
    </w:pPr>
    <w:rPr>
      <w:rFonts w:ascii="宋体"/>
      <w:szCs w:val="20"/>
    </w:rPr>
  </w:style>
  <w:style w:type="paragraph" w:customStyle="1" w:styleId="220">
    <w:name w:val="AT正文 Char Char Char Char Char Char"/>
    <w:basedOn w:val="1"/>
    <w:qFormat/>
    <w:uiPriority w:val="0"/>
    <w:pPr>
      <w:widowControl/>
      <w:wordWrap w:val="0"/>
      <w:spacing w:line="360" w:lineRule="auto"/>
    </w:pPr>
    <w:rPr>
      <w:rFonts w:ascii="仿宋_GB2312" w:eastAsia="仿宋_GB2312"/>
      <w:bCs/>
      <w:sz w:val="28"/>
      <w:szCs w:val="28"/>
    </w:rPr>
  </w:style>
  <w:style w:type="paragraph" w:customStyle="1" w:styleId="22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2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223">
    <w:name w:val="表标题"/>
    <w:basedOn w:val="1"/>
    <w:qFormat/>
    <w:uiPriority w:val="0"/>
    <w:pPr>
      <w:adjustRightInd w:val="0"/>
      <w:snapToGrid w:val="0"/>
      <w:spacing w:before="240" w:line="360" w:lineRule="auto"/>
      <w:jc w:val="center"/>
    </w:pPr>
    <w:rPr>
      <w:rFonts w:ascii="仿宋_GB2312" w:eastAsia="仿宋_GB2312"/>
      <w:b/>
      <w:spacing w:val="10"/>
      <w:sz w:val="28"/>
      <w:szCs w:val="20"/>
    </w:rPr>
  </w:style>
  <w:style w:type="paragraph" w:customStyle="1" w:styleId="224">
    <w:name w:val="表1"/>
    <w:basedOn w:val="1"/>
    <w:qFormat/>
    <w:uiPriority w:val="0"/>
    <w:pPr>
      <w:autoSpaceDE w:val="0"/>
      <w:autoSpaceDN w:val="0"/>
      <w:adjustRightInd w:val="0"/>
      <w:spacing w:line="360" w:lineRule="atLeast"/>
      <w:jc w:val="center"/>
      <w:textAlignment w:val="bottom"/>
    </w:pPr>
    <w:rPr>
      <w:rFonts w:ascii="仿宋_GB2312" w:eastAsia="仿宋_GB2312"/>
      <w:kern w:val="0"/>
      <w:sz w:val="18"/>
      <w:szCs w:val="20"/>
    </w:rPr>
  </w:style>
  <w:style w:type="paragraph" w:customStyle="1" w:styleId="225">
    <w:name w:val="xl52"/>
    <w:basedOn w:val="1"/>
    <w:qFormat/>
    <w:uiPriority w:val="0"/>
    <w:pPr>
      <w:widowControl/>
      <w:pBdr>
        <w:top w:val="single" w:color="auto" w:sz="4" w:space="0"/>
        <w:right w:val="double" w:color="auto" w:sz="6" w:space="0"/>
      </w:pBdr>
      <w:spacing w:before="100" w:beforeAutospacing="1" w:after="100" w:afterAutospacing="1"/>
      <w:jc w:val="left"/>
    </w:pPr>
    <w:rPr>
      <w:kern w:val="0"/>
      <w:sz w:val="20"/>
      <w:szCs w:val="20"/>
    </w:rPr>
  </w:style>
  <w:style w:type="paragraph" w:customStyle="1" w:styleId="226">
    <w:name w:val="正文yu"/>
    <w:basedOn w:val="19"/>
    <w:qFormat/>
    <w:uiPriority w:val="0"/>
    <w:pPr>
      <w:adjustRightInd w:val="0"/>
      <w:snapToGrid w:val="0"/>
      <w:spacing w:after="0" w:line="360" w:lineRule="auto"/>
      <w:ind w:firstLine="560" w:firstLineChars="200"/>
    </w:pPr>
    <w:rPr>
      <w:rFonts w:eastAsia="黑体"/>
      <w:sz w:val="28"/>
      <w:szCs w:val="28"/>
    </w:rPr>
  </w:style>
  <w:style w:type="paragraph" w:customStyle="1" w:styleId="227">
    <w:name w:val="样式 招股书正文 + (符号) Arial 加粗1"/>
    <w:basedOn w:val="228"/>
    <w:qFormat/>
    <w:uiPriority w:val="0"/>
    <w:rPr>
      <w:bCs/>
      <w:kern w:val="0"/>
    </w:rPr>
  </w:style>
  <w:style w:type="paragraph" w:customStyle="1" w:styleId="228">
    <w:name w:val="招股书正文"/>
    <w:basedOn w:val="1"/>
    <w:qFormat/>
    <w:uiPriority w:val="0"/>
    <w:pPr>
      <w:spacing w:line="360" w:lineRule="auto"/>
      <w:ind w:firstLine="200" w:firstLineChars="200"/>
    </w:pPr>
    <w:rPr>
      <w:rFonts w:ascii="Arial" w:hAnsi="Arial"/>
      <w:sz w:val="24"/>
    </w:rPr>
  </w:style>
  <w:style w:type="paragraph" w:customStyle="1" w:styleId="229">
    <w:name w:val="xl22"/>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kern w:val="0"/>
      <w:szCs w:val="21"/>
    </w:rPr>
  </w:style>
  <w:style w:type="paragraph" w:customStyle="1" w:styleId="23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eastAsia="Arial Unicode MS"/>
      <w:kern w:val="0"/>
      <w:sz w:val="20"/>
      <w:szCs w:val="20"/>
    </w:rPr>
  </w:style>
  <w:style w:type="paragraph" w:customStyle="1" w:styleId="231">
    <w:name w:val="8"/>
    <w:basedOn w:val="1"/>
    <w:next w:val="30"/>
    <w:qFormat/>
    <w:uiPriority w:val="0"/>
    <w:pPr>
      <w:ind w:firstLine="540"/>
    </w:pPr>
    <w:rPr>
      <w:rFonts w:ascii="Arial Narrow" w:hAnsi="Arial Narrow" w:eastAsia="仿宋_GB2312"/>
      <w:sz w:val="28"/>
      <w:szCs w:val="28"/>
    </w:rPr>
  </w:style>
  <w:style w:type="paragraph" w:customStyle="1" w:styleId="232">
    <w:name w:val="xl74"/>
    <w:basedOn w:val="1"/>
    <w:qFormat/>
    <w:uiPriority w:val="0"/>
    <w:pPr>
      <w:widowControl/>
      <w:pBdr>
        <w:bottom w:val="single" w:color="auto" w:sz="8" w:space="0"/>
      </w:pBdr>
      <w:spacing w:before="100" w:beforeAutospacing="1" w:after="100" w:afterAutospacing="1"/>
      <w:jc w:val="left"/>
      <w:textAlignment w:val="bottom"/>
    </w:pPr>
    <w:rPr>
      <w:rFonts w:eastAsia="Arial Unicode MS"/>
      <w:kern w:val="0"/>
      <w:sz w:val="22"/>
      <w:szCs w:val="22"/>
    </w:rPr>
  </w:style>
  <w:style w:type="paragraph" w:customStyle="1" w:styleId="233">
    <w:name w:val="xl75"/>
    <w:basedOn w:val="1"/>
    <w:qFormat/>
    <w:uiPriority w:val="0"/>
    <w:pPr>
      <w:widowControl/>
      <w:pBdr>
        <w:bottom w:val="single" w:color="auto" w:sz="8" w:space="0"/>
      </w:pBdr>
      <w:spacing w:before="100" w:beforeAutospacing="1" w:after="100" w:afterAutospacing="1"/>
      <w:jc w:val="left"/>
    </w:pPr>
    <w:rPr>
      <w:rFonts w:eastAsia="Arial Unicode MS"/>
      <w:kern w:val="0"/>
      <w:sz w:val="22"/>
      <w:szCs w:val="22"/>
    </w:rPr>
  </w:style>
  <w:style w:type="paragraph" w:customStyle="1" w:styleId="234">
    <w:name w:val="正文文本缩进 31"/>
    <w:basedOn w:val="1"/>
    <w:qFormat/>
    <w:uiPriority w:val="0"/>
    <w:pPr>
      <w:widowControl/>
      <w:adjustRightInd w:val="0"/>
      <w:spacing w:line="440" w:lineRule="exact"/>
      <w:ind w:firstLine="480"/>
      <w:jc w:val="left"/>
      <w:textAlignment w:val="baseline"/>
    </w:pPr>
    <w:rPr>
      <w:rFonts w:ascii="宋体" w:hAnsi="宋体"/>
      <w:kern w:val="0"/>
      <w:sz w:val="24"/>
      <w:szCs w:val="20"/>
    </w:rPr>
  </w:style>
  <w:style w:type="paragraph" w:customStyle="1" w:styleId="235">
    <w:name w:val="正文文本 21"/>
    <w:basedOn w:val="1"/>
    <w:qFormat/>
    <w:uiPriority w:val="0"/>
    <w:pPr>
      <w:autoSpaceDE w:val="0"/>
      <w:autoSpaceDN w:val="0"/>
      <w:adjustRightInd w:val="0"/>
      <w:spacing w:line="312" w:lineRule="atLeast"/>
      <w:ind w:left="475" w:hanging="211"/>
      <w:textAlignment w:val="baseline"/>
    </w:pPr>
    <w:rPr>
      <w:rFonts w:ascii="楷体" w:hAnsi="Tms Rmn" w:eastAsia="楷体"/>
      <w:kern w:val="0"/>
      <w:sz w:val="28"/>
      <w:szCs w:val="20"/>
    </w:rPr>
  </w:style>
  <w:style w:type="paragraph" w:customStyle="1" w:styleId="236">
    <w:name w:val="附 注"/>
    <w:basedOn w:val="14"/>
    <w:qFormat/>
    <w:uiPriority w:val="0"/>
    <w:pPr>
      <w:tabs>
        <w:tab w:val="left" w:pos="920"/>
      </w:tabs>
      <w:spacing w:after="60" w:line="440" w:lineRule="atLeast"/>
      <w:ind w:firstLine="624" w:firstLineChars="0"/>
    </w:pPr>
    <w:rPr>
      <w:rFonts w:ascii="Garamond" w:hAnsi="Garamond" w:eastAsia="仿宋_GB2312"/>
      <w:sz w:val="28"/>
      <w:szCs w:val="20"/>
    </w:rPr>
  </w:style>
  <w:style w:type="paragraph" w:customStyle="1" w:styleId="237">
    <w:name w:val="xl23"/>
    <w:basedOn w:val="1"/>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238">
    <w:name w:val="陈式标题6"/>
    <w:basedOn w:val="205"/>
    <w:qFormat/>
    <w:uiPriority w:val="0"/>
  </w:style>
  <w:style w:type="paragraph" w:customStyle="1" w:styleId="23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240">
    <w:name w:val="3"/>
    <w:basedOn w:val="1"/>
    <w:next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241">
    <w:name w:val="Char4 Char Char Char Char Char Char Char Char Char Char Char Char Char Char"/>
    <w:basedOn w:val="1"/>
    <w:qFormat/>
    <w:uiPriority w:val="0"/>
    <w:rPr>
      <w:rFonts w:ascii="Tahoma" w:hAnsi="Tahoma"/>
      <w:sz w:val="24"/>
      <w:szCs w:val="20"/>
    </w:rPr>
  </w:style>
  <w:style w:type="paragraph" w:customStyle="1" w:styleId="242">
    <w:name w:val="Table S/D Und"/>
    <w:qFormat/>
    <w:uiPriority w:val="0"/>
    <w:pPr>
      <w:widowControl w:val="0"/>
    </w:pPr>
    <w:rPr>
      <w:rFonts w:ascii="Times New Roman" w:hAnsi="Times New Roman" w:eastAsia="宋体" w:cs="Times New Roman"/>
      <w:snapToGrid w:val="0"/>
      <w:color w:val="000000"/>
      <w:sz w:val="24"/>
      <w:lang w:val="en-US" w:eastAsia="en-US" w:bidi="ar-SA"/>
    </w:rPr>
  </w:style>
  <w:style w:type="paragraph" w:customStyle="1" w:styleId="243">
    <w:name w:val="xl61"/>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rFonts w:ascii="宋体" w:hAnsi="宋体"/>
      <w:kern w:val="0"/>
      <w:sz w:val="20"/>
      <w:szCs w:val="20"/>
    </w:rPr>
  </w:style>
  <w:style w:type="paragraph" w:customStyle="1" w:styleId="244">
    <w:name w:val="默认段落字体 Para Char Char Char Char"/>
    <w:basedOn w:val="1"/>
    <w:qFormat/>
    <w:uiPriority w:val="0"/>
  </w:style>
  <w:style w:type="paragraph" w:customStyle="1" w:styleId="245">
    <w:name w:val="Heading"/>
    <w:basedOn w:val="20"/>
    <w:qFormat/>
    <w:uiPriority w:val="0"/>
    <w:pPr>
      <w:widowControl/>
      <w:tabs>
        <w:tab w:val="left" w:pos="1008"/>
        <w:tab w:val="left" w:pos="1872"/>
        <w:tab w:val="left" w:pos="2592"/>
      </w:tabs>
      <w:autoSpaceDE w:val="0"/>
      <w:autoSpaceDN w:val="0"/>
      <w:spacing w:after="0"/>
    </w:pPr>
    <w:rPr>
      <w:rFonts w:ascii="Arial" w:hAnsi="Arial"/>
      <w:b/>
      <w:color w:val="000000"/>
      <w:kern w:val="0"/>
      <w:sz w:val="20"/>
      <w:szCs w:val="22"/>
    </w:rPr>
  </w:style>
  <w:style w:type="paragraph" w:customStyle="1" w:styleId="246">
    <w:name w:val="样式3(代文)"/>
    <w:basedOn w:val="1"/>
    <w:qFormat/>
    <w:uiPriority w:val="0"/>
    <w:pPr>
      <w:adjustRightInd w:val="0"/>
      <w:snapToGrid w:val="0"/>
      <w:spacing w:line="360" w:lineRule="auto"/>
      <w:ind w:firstLine="468" w:firstLineChars="200"/>
      <w:jc w:val="left"/>
    </w:pPr>
    <w:rPr>
      <w:rFonts w:eastAsia="仿宋_GB2312"/>
      <w:snapToGrid w:val="0"/>
      <w:w w:val="84"/>
      <w:kern w:val="0"/>
      <w:sz w:val="28"/>
      <w:szCs w:val="28"/>
    </w:rPr>
  </w:style>
  <w:style w:type="paragraph" w:customStyle="1" w:styleId="247">
    <w:name w:val="xl46"/>
    <w:basedOn w:val="1"/>
    <w:qFormat/>
    <w:uiPriority w:val="0"/>
    <w:pPr>
      <w:widowControl/>
      <w:pBdr>
        <w:top w:val="double" w:color="auto" w:sz="6" w:space="0"/>
        <w:bottom w:val="single" w:color="auto" w:sz="4" w:space="0"/>
      </w:pBdr>
      <w:spacing w:before="100" w:beforeAutospacing="1" w:after="100" w:afterAutospacing="1"/>
      <w:jc w:val="left"/>
    </w:pPr>
    <w:rPr>
      <w:rFonts w:ascii="宋体" w:hAnsi="宋体"/>
      <w:kern w:val="0"/>
      <w:sz w:val="20"/>
      <w:szCs w:val="20"/>
    </w:rPr>
  </w:style>
  <w:style w:type="paragraph" w:customStyle="1" w:styleId="248">
    <w:name w:val="Minor"/>
    <w:next w:val="20"/>
    <w:qFormat/>
    <w:uiPriority w:val="0"/>
    <w:pPr>
      <w:keepNext/>
      <w:keepLines/>
      <w:widowControl w:val="0"/>
      <w:tabs>
        <w:tab w:val="left" w:pos="720"/>
        <w:tab w:val="left" w:pos="1425"/>
        <w:tab w:val="left" w:pos="2355"/>
        <w:tab w:val="right" w:pos="10440"/>
      </w:tabs>
      <w:spacing w:after="288"/>
    </w:pPr>
    <w:rPr>
      <w:rFonts w:ascii="Times New Roman" w:hAnsi="Times New Roman" w:eastAsia="宋体" w:cs="Times New Roman"/>
      <w:b/>
      <w:snapToGrid w:val="0"/>
      <w:color w:val="000000"/>
      <w:sz w:val="24"/>
      <w:lang w:val="en-US" w:eastAsia="en-US" w:bidi="ar-SA"/>
    </w:rPr>
  </w:style>
  <w:style w:type="paragraph" w:customStyle="1" w:styleId="249">
    <w:name w:val="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5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51">
    <w:name w:val="Char1 Char Char Char"/>
    <w:basedOn w:val="1"/>
    <w:qFormat/>
    <w:uiPriority w:val="0"/>
    <w:rPr>
      <w:rFonts w:ascii="Tahoma" w:hAnsi="Tahoma"/>
      <w:sz w:val="24"/>
      <w:szCs w:val="20"/>
    </w:rPr>
  </w:style>
  <w:style w:type="paragraph" w:customStyle="1" w:styleId="2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FF0000"/>
      <w:kern w:val="0"/>
      <w:sz w:val="24"/>
    </w:rPr>
  </w:style>
  <w:style w:type="paragraph" w:customStyle="1" w:styleId="253">
    <w:name w:val="Sub-minor"/>
    <w:next w:val="20"/>
    <w:qFormat/>
    <w:uiPriority w:val="0"/>
    <w:pPr>
      <w:keepNext/>
      <w:keepLines/>
      <w:widowControl w:val="0"/>
      <w:tabs>
        <w:tab w:val="left" w:pos="720"/>
        <w:tab w:val="left" w:pos="1425"/>
        <w:tab w:val="left" w:pos="2355"/>
        <w:tab w:val="right" w:pos="10440"/>
      </w:tabs>
      <w:spacing w:after="288"/>
      <w:ind w:left="720"/>
    </w:pPr>
    <w:rPr>
      <w:rFonts w:ascii="Times New Roman" w:hAnsi="Times New Roman" w:eastAsia="宋体" w:cs="Times New Roman"/>
      <w:b/>
      <w:snapToGrid w:val="0"/>
      <w:color w:val="000000"/>
      <w:sz w:val="24"/>
      <w:lang w:val="en-US" w:eastAsia="en-US" w:bidi="ar-SA"/>
    </w:rPr>
  </w:style>
  <w:style w:type="paragraph" w:customStyle="1" w:styleId="254">
    <w:name w:val="Presentation Subtitle"/>
    <w:basedOn w:val="1"/>
    <w:next w:val="1"/>
    <w:qFormat/>
    <w:uiPriority w:val="0"/>
    <w:pPr>
      <w:widowControl/>
      <w:tabs>
        <w:tab w:val="right" w:pos="10800"/>
      </w:tabs>
      <w:ind w:right="648"/>
      <w:jc w:val="left"/>
    </w:pPr>
    <w:rPr>
      <w:rFonts w:ascii="UBSHeadline" w:hAnsi="UBSHeadline" w:eastAsia="华文楷体"/>
      <w:color w:val="FFD539"/>
      <w:kern w:val="0"/>
      <w:sz w:val="48"/>
      <w:szCs w:val="20"/>
    </w:rPr>
  </w:style>
  <w:style w:type="paragraph" w:customStyle="1" w:styleId="255">
    <w:name w:val="陈式标题7"/>
    <w:basedOn w:val="205"/>
    <w:qFormat/>
    <w:uiPriority w:val="0"/>
  </w:style>
  <w:style w:type="paragraph" w:customStyle="1" w:styleId="256">
    <w:name w:val="Char2 Char Char Char"/>
    <w:basedOn w:val="1"/>
    <w:qFormat/>
    <w:uiPriority w:val="0"/>
    <w:rPr>
      <w:rFonts w:ascii="Tahoma" w:hAnsi="Tahoma"/>
      <w:sz w:val="24"/>
      <w:szCs w:val="20"/>
    </w:rPr>
  </w:style>
  <w:style w:type="paragraph" w:customStyle="1" w:styleId="257">
    <w:name w:val="Table S Below"/>
    <w:qFormat/>
    <w:uiPriority w:val="0"/>
    <w:pPr>
      <w:widowControl w:val="0"/>
    </w:pPr>
    <w:rPr>
      <w:rFonts w:ascii="Times New Roman" w:hAnsi="Times New Roman" w:eastAsia="宋体" w:cs="Times New Roman"/>
      <w:snapToGrid w:val="0"/>
      <w:color w:val="000000"/>
      <w:sz w:val="24"/>
      <w:lang w:val="en-US" w:eastAsia="en-US" w:bidi="ar-SA"/>
    </w:rPr>
  </w:style>
  <w:style w:type="paragraph" w:customStyle="1" w:styleId="258">
    <w:name w:val="AT正文"/>
    <w:basedOn w:val="1"/>
    <w:qFormat/>
    <w:uiPriority w:val="0"/>
    <w:pPr>
      <w:widowControl/>
      <w:wordWrap w:val="0"/>
      <w:spacing w:line="360" w:lineRule="auto"/>
      <w:ind w:firstLine="5399" w:firstLineChars="2571"/>
      <w:jc w:val="left"/>
    </w:pPr>
    <w:rPr>
      <w:rFonts w:eastAsia="仿宋_GB2312"/>
      <w:bCs/>
      <w:kern w:val="0"/>
      <w:szCs w:val="21"/>
    </w:rPr>
  </w:style>
  <w:style w:type="paragraph" w:customStyle="1" w:styleId="259">
    <w:name w:val="dd"/>
    <w:basedOn w:val="1"/>
    <w:qFormat/>
    <w:uiPriority w:val="0"/>
    <w:pPr>
      <w:ind w:firstLine="525"/>
    </w:pPr>
    <w:rPr>
      <w:sz w:val="24"/>
      <w:szCs w:val="20"/>
    </w:rPr>
  </w:style>
  <w:style w:type="paragraph" w:customStyle="1" w:styleId="260">
    <w:name w:val="xl49"/>
    <w:basedOn w:val="1"/>
    <w:qFormat/>
    <w:uiPriority w:val="0"/>
    <w:pPr>
      <w:widowControl/>
      <w:pBdr>
        <w:left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6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0"/>
      <w:szCs w:val="20"/>
    </w:rPr>
  </w:style>
  <w:style w:type="paragraph" w:customStyle="1" w:styleId="262">
    <w:name w:val="ZW"/>
    <w:basedOn w:val="1"/>
    <w:qFormat/>
    <w:uiPriority w:val="0"/>
    <w:pPr>
      <w:autoSpaceDE w:val="0"/>
      <w:autoSpaceDN w:val="0"/>
      <w:adjustRightInd w:val="0"/>
      <w:spacing w:line="440" w:lineRule="atLeast"/>
      <w:ind w:left="601" w:right="386" w:firstLine="601"/>
      <w:textAlignment w:val="bottom"/>
    </w:pPr>
    <w:rPr>
      <w:rFonts w:ascii="Arial" w:hAnsi="Arial" w:eastAsia="昆仑楷体"/>
      <w:kern w:val="0"/>
      <w:sz w:val="28"/>
      <w:szCs w:val="20"/>
    </w:rPr>
  </w:style>
  <w:style w:type="paragraph" w:customStyle="1" w:styleId="263">
    <w:name w:val="xl5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kern w:val="0"/>
      <w:sz w:val="20"/>
      <w:szCs w:val="20"/>
    </w:rPr>
  </w:style>
  <w:style w:type="paragraph" w:customStyle="1" w:styleId="264">
    <w:name w:val="样式2"/>
    <w:basedOn w:val="265"/>
    <w:qFormat/>
    <w:uiPriority w:val="0"/>
    <w:pPr>
      <w:tabs>
        <w:tab w:val="left" w:pos="3015"/>
      </w:tabs>
      <w:spacing w:line="360" w:lineRule="auto"/>
      <w:ind w:left="3015" w:right="284" w:hanging="855"/>
    </w:pPr>
    <w:rPr>
      <w:b w:val="0"/>
      <w:color w:val="000000"/>
    </w:rPr>
  </w:style>
  <w:style w:type="paragraph" w:customStyle="1" w:styleId="265">
    <w:name w:val="样式1"/>
    <w:basedOn w:val="1"/>
    <w:qFormat/>
    <w:uiPriority w:val="0"/>
    <w:pPr>
      <w:adjustRightInd w:val="0"/>
      <w:spacing w:line="264" w:lineRule="auto"/>
      <w:textAlignment w:val="baseline"/>
    </w:pPr>
    <w:rPr>
      <w:rFonts w:ascii="楷体_GB2312" w:eastAsia="楷体_GB2312"/>
      <w:b/>
      <w:color w:val="0000FF"/>
      <w:kern w:val="0"/>
      <w:sz w:val="28"/>
      <w:szCs w:val="20"/>
    </w:rPr>
  </w:style>
  <w:style w:type="paragraph" w:customStyle="1" w:styleId="266">
    <w:name w:val="正文文本缩进 311"/>
    <w:basedOn w:val="1"/>
    <w:qFormat/>
    <w:uiPriority w:val="0"/>
    <w:pPr>
      <w:widowControl/>
      <w:overflowPunct w:val="0"/>
      <w:autoSpaceDE w:val="0"/>
      <w:autoSpaceDN w:val="0"/>
      <w:adjustRightInd w:val="0"/>
      <w:spacing w:line="276" w:lineRule="auto"/>
      <w:ind w:firstLine="480"/>
      <w:textAlignment w:val="baseline"/>
    </w:pPr>
    <w:rPr>
      <w:rFonts w:ascii="仿宋_GB2312" w:eastAsia="仿宋_GB2312"/>
      <w:kern w:val="0"/>
      <w:sz w:val="28"/>
      <w:szCs w:val="20"/>
    </w:rPr>
  </w:style>
  <w:style w:type="paragraph" w:customStyle="1" w:styleId="267">
    <w:name w:val="评三"/>
    <w:basedOn w:val="1"/>
    <w:qFormat/>
    <w:uiPriority w:val="0"/>
    <w:pPr>
      <w:autoSpaceDE w:val="0"/>
      <w:autoSpaceDN w:val="0"/>
      <w:adjustRightInd w:val="0"/>
      <w:spacing w:line="440" w:lineRule="exact"/>
      <w:ind w:firstLine="624"/>
      <w:textAlignment w:val="bottom"/>
    </w:pPr>
    <w:rPr>
      <w:rFonts w:ascii="宋体" w:hAnsi="Arial"/>
      <w:kern w:val="0"/>
      <w:sz w:val="28"/>
      <w:szCs w:val="20"/>
    </w:rPr>
  </w:style>
  <w:style w:type="paragraph" w:customStyle="1" w:styleId="268">
    <w:name w:val="编号"/>
    <w:basedOn w:val="52"/>
    <w:qFormat/>
    <w:uiPriority w:val="0"/>
    <w:pPr>
      <w:tabs>
        <w:tab w:val="left" w:pos="780"/>
      </w:tabs>
      <w:snapToGrid/>
      <w:spacing w:before="120" w:after="0" w:line="240" w:lineRule="auto"/>
      <w:ind w:left="780" w:hanging="360" w:firstLineChars="0"/>
    </w:pPr>
    <w:rPr>
      <w:rFonts w:ascii="Garamond" w:hAnsi="Garamond"/>
      <w:szCs w:val="20"/>
    </w:rPr>
  </w:style>
  <w:style w:type="paragraph" w:customStyle="1" w:styleId="269">
    <w:name w:val="Char Char Char1 Char"/>
    <w:basedOn w:val="1"/>
    <w:qFormat/>
    <w:uiPriority w:val="0"/>
    <w:rPr>
      <w:rFonts w:ascii="Tahoma" w:hAnsi="Tahoma"/>
      <w:sz w:val="24"/>
      <w:szCs w:val="20"/>
    </w:rPr>
  </w:style>
  <w:style w:type="paragraph" w:customStyle="1" w:styleId="270">
    <w:name w:val="陈式标题10"/>
    <w:basedOn w:val="1"/>
    <w:qFormat/>
    <w:uiPriority w:val="0"/>
    <w:pPr>
      <w:tabs>
        <w:tab w:val="left" w:pos="360"/>
      </w:tabs>
      <w:adjustRightInd w:val="0"/>
      <w:spacing w:line="360" w:lineRule="atLeast"/>
      <w:jc w:val="left"/>
      <w:textAlignment w:val="baseline"/>
    </w:pPr>
    <w:rPr>
      <w:kern w:val="0"/>
      <w:sz w:val="24"/>
      <w:szCs w:val="20"/>
    </w:rPr>
  </w:style>
  <w:style w:type="paragraph" w:customStyle="1" w:styleId="271">
    <w:name w:val="Level 2"/>
    <w:qFormat/>
    <w:uiPriority w:val="0"/>
    <w:pPr>
      <w:widowControl w:val="0"/>
      <w:tabs>
        <w:tab w:val="left" w:pos="720"/>
        <w:tab w:val="left" w:pos="1425"/>
        <w:tab w:val="left" w:pos="2355"/>
      </w:tabs>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27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3">
    <w:name w:val="Dash"/>
    <w:qFormat/>
    <w:uiPriority w:val="0"/>
    <w:pPr>
      <w:widowControl w:val="0"/>
      <w:tabs>
        <w:tab w:val="left" w:pos="720"/>
        <w:tab w:val="left" w:pos="1425"/>
        <w:tab w:val="right" w:pos="9720"/>
      </w:tabs>
      <w:spacing w:after="288"/>
      <w:ind w:left="2160"/>
      <w:jc w:val="both"/>
    </w:pPr>
    <w:rPr>
      <w:rFonts w:ascii="Times New Roman" w:hAnsi="Times New Roman" w:eastAsia="宋体" w:cs="Times New Roman"/>
      <w:snapToGrid w:val="0"/>
      <w:color w:val="000000"/>
      <w:sz w:val="24"/>
      <w:lang w:val="en-US" w:eastAsia="en-US" w:bidi="ar-SA"/>
    </w:rPr>
  </w:style>
  <w:style w:type="paragraph" w:customStyle="1" w:styleId="274">
    <w:name w:val="Section"/>
    <w:next w:val="275"/>
    <w:qFormat/>
    <w:uiPriority w:val="0"/>
    <w:pPr>
      <w:keepNext/>
      <w:keepLines/>
      <w:widowControl w:val="0"/>
      <w:tabs>
        <w:tab w:val="left" w:pos="705"/>
        <w:tab w:val="left" w:pos="1425"/>
        <w:tab w:val="left" w:pos="2310"/>
        <w:tab w:val="right" w:pos="10425"/>
      </w:tabs>
      <w:spacing w:after="288"/>
    </w:pPr>
    <w:rPr>
      <w:rFonts w:ascii="Times New Roman" w:hAnsi="Times New Roman" w:eastAsia="宋体" w:cs="Times New Roman"/>
      <w:b/>
      <w:snapToGrid w:val="0"/>
      <w:color w:val="000000"/>
      <w:sz w:val="36"/>
      <w:lang w:val="en-US" w:eastAsia="en-US" w:bidi="ar-SA"/>
    </w:rPr>
  </w:style>
  <w:style w:type="paragraph" w:customStyle="1" w:styleId="275">
    <w:name w:val="Major"/>
    <w:next w:val="20"/>
    <w:qFormat/>
    <w:uiPriority w:val="0"/>
    <w:pPr>
      <w:keepNext/>
      <w:keepLines/>
      <w:widowControl w:val="0"/>
      <w:tabs>
        <w:tab w:val="left" w:pos="705"/>
        <w:tab w:val="left" w:pos="1425"/>
        <w:tab w:val="left" w:pos="2310"/>
        <w:tab w:val="right" w:pos="10440"/>
      </w:tabs>
      <w:spacing w:after="288"/>
    </w:pPr>
    <w:rPr>
      <w:rFonts w:ascii="Times New Roman" w:hAnsi="Times New Roman" w:eastAsia="宋体" w:cs="Times New Roman"/>
      <w:b/>
      <w:snapToGrid w:val="0"/>
      <w:color w:val="000000"/>
      <w:sz w:val="28"/>
      <w:lang w:val="en-US" w:eastAsia="en-US" w:bidi="ar-SA"/>
    </w:rPr>
  </w:style>
  <w:style w:type="paragraph" w:customStyle="1" w:styleId="276">
    <w:name w:val="xl38"/>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b/>
      <w:bCs/>
      <w:kern w:val="0"/>
      <w:sz w:val="24"/>
    </w:rPr>
  </w:style>
  <w:style w:type="paragraph" w:customStyle="1" w:styleId="277">
    <w:name w:val="xl6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0"/>
      <w:szCs w:val="20"/>
    </w:rPr>
  </w:style>
  <w:style w:type="paragraph" w:customStyle="1" w:styleId="278">
    <w:name w:val="附件标题1"/>
    <w:basedOn w:val="5"/>
    <w:qFormat/>
    <w:uiPriority w:val="0"/>
    <w:pPr>
      <w:tabs>
        <w:tab w:val="left" w:pos="1417"/>
      </w:tabs>
      <w:spacing w:before="120" w:after="0"/>
      <w:ind w:left="1417" w:hanging="855"/>
      <w:textAlignment w:val="baseline"/>
    </w:pPr>
    <w:rPr>
      <w:rFonts w:eastAsia="宋体"/>
    </w:rPr>
  </w:style>
  <w:style w:type="paragraph" w:customStyle="1" w:styleId="279">
    <w:name w:val="陈式标题4"/>
    <w:basedOn w:val="205"/>
    <w:qFormat/>
    <w:uiPriority w:val="0"/>
  </w:style>
  <w:style w:type="paragraph" w:customStyle="1" w:styleId="280">
    <w:name w:val="Char3"/>
    <w:basedOn w:val="1"/>
    <w:qFormat/>
    <w:uiPriority w:val="0"/>
    <w:rPr>
      <w:rFonts w:ascii="Tahoma" w:hAnsi="Tahoma"/>
      <w:sz w:val="24"/>
      <w:szCs w:val="20"/>
    </w:rPr>
  </w:style>
  <w:style w:type="paragraph" w:customStyle="1" w:styleId="281">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82">
    <w:name w:val="È±Ê¡ÎÄ±¾-×¢ÊÍ"/>
    <w:basedOn w:val="1"/>
    <w:qFormat/>
    <w:uiPriority w:val="0"/>
    <w:pPr>
      <w:widowControl/>
      <w:tabs>
        <w:tab w:val="left" w:pos="595"/>
        <w:tab w:val="center" w:pos="2245"/>
        <w:tab w:val="center" w:pos="6497"/>
      </w:tabs>
      <w:overflowPunct w:val="0"/>
      <w:autoSpaceDE w:val="0"/>
      <w:autoSpaceDN w:val="0"/>
      <w:adjustRightInd w:val="0"/>
      <w:spacing w:after="120" w:line="360" w:lineRule="auto"/>
      <w:textAlignment w:val="baseline"/>
    </w:pPr>
    <w:rPr>
      <w:kern w:val="0"/>
      <w:sz w:val="24"/>
      <w:szCs w:val="20"/>
    </w:rPr>
  </w:style>
  <w:style w:type="paragraph" w:customStyle="1" w:styleId="283">
    <w:name w:val="xl4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84">
    <w:name w:val="附注二级正文"/>
    <w:basedOn w:val="1"/>
    <w:qFormat/>
    <w:uiPriority w:val="0"/>
    <w:pPr>
      <w:adjustRightInd w:val="0"/>
      <w:snapToGrid w:val="0"/>
      <w:spacing w:line="400" w:lineRule="atLeast"/>
      <w:ind w:left="718" w:leftChars="342"/>
    </w:pPr>
    <w:rPr>
      <w:rFonts w:ascii="宋体" w:hAnsi="宋体"/>
      <w:szCs w:val="21"/>
    </w:rPr>
  </w:style>
  <w:style w:type="paragraph" w:customStyle="1" w:styleId="2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86">
    <w:name w:val="Char Char1 Char"/>
    <w:basedOn w:val="17"/>
    <w:qFormat/>
    <w:uiPriority w:val="0"/>
    <w:pPr>
      <w:shd w:val="clear" w:color="auto" w:fill="000080"/>
    </w:pPr>
    <w:rPr>
      <w:rFonts w:ascii="Tahoma" w:hAnsi="Tahoma"/>
      <w:sz w:val="24"/>
      <w:szCs w:val="24"/>
    </w:rPr>
  </w:style>
  <w:style w:type="paragraph" w:customStyle="1" w:styleId="287">
    <w:name w:val="样式 招股书正文 + 首行缩进:  2 字符"/>
    <w:basedOn w:val="228"/>
    <w:qFormat/>
    <w:uiPriority w:val="0"/>
    <w:pPr>
      <w:ind w:firstLine="480"/>
    </w:pPr>
    <w:rPr>
      <w:rFonts w:cs="宋体"/>
      <w:szCs w:val="20"/>
    </w:rPr>
  </w:style>
  <w:style w:type="paragraph" w:customStyle="1" w:styleId="28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89">
    <w:name w:val="Char4"/>
    <w:basedOn w:val="1"/>
    <w:qFormat/>
    <w:uiPriority w:val="0"/>
    <w:rPr>
      <w:rFonts w:ascii="Tahoma" w:hAnsi="Tahoma"/>
      <w:sz w:val="24"/>
      <w:szCs w:val="20"/>
    </w:rPr>
  </w:style>
  <w:style w:type="paragraph" w:customStyle="1" w:styleId="290">
    <w:name w:val="AT标题3"/>
    <w:basedOn w:val="4"/>
    <w:next w:val="1"/>
    <w:qFormat/>
    <w:uiPriority w:val="0"/>
    <w:pPr>
      <w:keepNext w:val="0"/>
      <w:keepLines w:val="0"/>
      <w:widowControl/>
      <w:numPr>
        <w:numId w:val="0"/>
      </w:numPr>
      <w:adjustRightInd/>
      <w:spacing w:before="0" w:after="0" w:line="360" w:lineRule="auto"/>
    </w:pPr>
    <w:rPr>
      <w:rFonts w:ascii="仿宋_GB2312" w:eastAsia="仿宋_GB2312"/>
      <w:bCs/>
      <w:sz w:val="28"/>
      <w:szCs w:val="32"/>
    </w:rPr>
  </w:style>
  <w:style w:type="paragraph" w:customStyle="1" w:styleId="291">
    <w:name w:val="xl45"/>
    <w:basedOn w:val="1"/>
    <w:qFormat/>
    <w:uiPriority w:val="0"/>
    <w:pPr>
      <w:widowControl/>
      <w:pBdr>
        <w:top w:val="double" w:color="auto" w:sz="6" w:space="0"/>
        <w:left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292">
    <w:name w:val="封面4"/>
    <w:qFormat/>
    <w:uiPriority w:val="0"/>
    <w:pPr>
      <w:widowControl w:val="0"/>
      <w:adjustRightInd w:val="0"/>
      <w:spacing w:line="312" w:lineRule="atLeast"/>
      <w:jc w:val="center"/>
      <w:textAlignment w:val="baseline"/>
    </w:pPr>
    <w:rPr>
      <w:rFonts w:ascii="宋体" w:hAnsi="Times New Roman" w:eastAsia="宋体" w:cs="Times New Roman"/>
      <w:sz w:val="21"/>
      <w:lang w:val="en-US" w:eastAsia="zh-CN" w:bidi="ar-SA"/>
    </w:rPr>
  </w:style>
  <w:style w:type="paragraph" w:customStyle="1" w:styleId="293">
    <w:name w:val="TOC 标题1"/>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294">
    <w:name w:val="xl55"/>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kern w:val="0"/>
      <w:sz w:val="20"/>
      <w:szCs w:val="20"/>
    </w:rPr>
  </w:style>
  <w:style w:type="paragraph" w:customStyle="1" w:styleId="2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96">
    <w:name w:val="title0"/>
    <w:basedOn w:val="1"/>
    <w:qFormat/>
    <w:uiPriority w:val="0"/>
    <w:pPr>
      <w:widowControl/>
      <w:spacing w:before="300" w:after="300" w:line="480" w:lineRule="auto"/>
      <w:jc w:val="left"/>
    </w:pPr>
    <w:rPr>
      <w:rFonts w:ascii="??" w:hAnsi="??" w:cs="宋体"/>
      <w:color w:val="FF0000"/>
      <w:kern w:val="0"/>
      <w:sz w:val="36"/>
      <w:szCs w:val="36"/>
    </w:rPr>
  </w:style>
  <w:style w:type="paragraph" w:customStyle="1" w:styleId="297">
    <w:name w:val="xl73"/>
    <w:basedOn w:val="1"/>
    <w:qFormat/>
    <w:uiPriority w:val="0"/>
    <w:pPr>
      <w:widowControl/>
      <w:pBdr>
        <w:bottom w:val="single" w:color="auto" w:sz="8" w:space="0"/>
      </w:pBdr>
      <w:spacing w:before="100" w:beforeAutospacing="1" w:after="100" w:afterAutospacing="1"/>
      <w:jc w:val="left"/>
      <w:textAlignment w:val="bottom"/>
    </w:pPr>
    <w:rPr>
      <w:rFonts w:ascii="Arial Unicode MS" w:hAnsi="Arial Unicode MS" w:eastAsia="Arial Unicode MS" w:cs="Arial Unicode MS"/>
      <w:kern w:val="0"/>
      <w:sz w:val="22"/>
      <w:szCs w:val="22"/>
    </w:rPr>
  </w:style>
  <w:style w:type="paragraph" w:customStyle="1" w:styleId="29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99">
    <w:name w:val="Char2 Char Char Char Char Char Char Char Char Char"/>
    <w:basedOn w:val="1"/>
    <w:qFormat/>
    <w:uiPriority w:val="0"/>
    <w:rPr>
      <w:rFonts w:ascii="Tahoma" w:hAnsi="Tahoma"/>
      <w:sz w:val="24"/>
      <w:szCs w:val="20"/>
    </w:rPr>
  </w:style>
  <w:style w:type="paragraph" w:customStyle="1" w:styleId="300">
    <w:name w:val="附注－标题二"/>
    <w:basedOn w:val="1"/>
    <w:qFormat/>
    <w:uiPriority w:val="0"/>
    <w:pPr>
      <w:keepNext/>
      <w:tabs>
        <w:tab w:val="left" w:pos="480"/>
        <w:tab w:val="left" w:pos="525"/>
        <w:tab w:val="left" w:pos="924"/>
        <w:tab w:val="left" w:pos="1092"/>
        <w:tab w:val="left" w:pos="1204"/>
      </w:tabs>
      <w:adjustRightInd w:val="0"/>
      <w:snapToGrid w:val="0"/>
      <w:spacing w:beforeLines="50" w:afterLines="50" w:line="360" w:lineRule="auto"/>
      <w:ind w:left="480" w:hanging="480"/>
      <w:outlineLvl w:val="1"/>
    </w:pPr>
    <w:rPr>
      <w:rFonts w:ascii="黑体" w:hAnsi="宋体" w:eastAsia="黑体"/>
      <w:b/>
      <w:snapToGrid w:val="0"/>
      <w:color w:val="000000"/>
      <w:kern w:val="0"/>
      <w:sz w:val="24"/>
      <w:szCs w:val="28"/>
    </w:rPr>
  </w:style>
  <w:style w:type="paragraph" w:customStyle="1" w:styleId="301">
    <w:name w:val="标准"/>
    <w:basedOn w:val="1"/>
    <w:qFormat/>
    <w:uiPriority w:val="0"/>
    <w:pPr>
      <w:autoSpaceDE w:val="0"/>
      <w:autoSpaceDN w:val="0"/>
      <w:adjustRightInd w:val="0"/>
      <w:spacing w:line="360" w:lineRule="auto"/>
      <w:jc w:val="center"/>
      <w:textAlignment w:val="baseline"/>
    </w:pPr>
    <w:rPr>
      <w:rFonts w:ascii="仿宋_GB2312" w:eastAsia="仿宋_GB2312"/>
      <w:sz w:val="24"/>
      <w:szCs w:val="20"/>
    </w:rPr>
  </w:style>
  <w:style w:type="paragraph" w:customStyle="1" w:styleId="30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18"/>
      <w:szCs w:val="18"/>
    </w:rPr>
  </w:style>
  <w:style w:type="paragraph" w:customStyle="1" w:styleId="303">
    <w:name w:val="Note:"/>
    <w:next w:val="20"/>
    <w:qFormat/>
    <w:uiPriority w:val="0"/>
    <w:pPr>
      <w:widowControl w:val="0"/>
      <w:tabs>
        <w:tab w:val="left" w:pos="705"/>
        <w:tab w:val="left" w:pos="1440"/>
        <w:tab w:val="left" w:pos="2304"/>
        <w:tab w:val="right" w:pos="10425"/>
      </w:tabs>
      <w:spacing w:after="288"/>
      <w:ind w:left="720"/>
      <w:jc w:val="both"/>
    </w:pPr>
    <w:rPr>
      <w:rFonts w:ascii="Times New Roman" w:hAnsi="Times New Roman" w:eastAsia="宋体" w:cs="Times New Roman"/>
      <w:snapToGrid w:val="0"/>
      <w:color w:val="000000"/>
      <w:sz w:val="24"/>
      <w:lang w:val="en-US" w:eastAsia="en-US" w:bidi="ar-SA"/>
    </w:rPr>
  </w:style>
  <w:style w:type="paragraph" w:customStyle="1" w:styleId="304">
    <w:name w:val="af32hichaf0dbchf32cgrid"/>
    <w:qFormat/>
    <w:uiPriority w:val="0"/>
    <w:pPr>
      <w:widowControl w:val="0"/>
      <w:tabs>
        <w:tab w:val="left" w:pos="0"/>
      </w:tabs>
      <w:autoSpaceDE w:val="0"/>
      <w:autoSpaceDN w:val="0"/>
      <w:adjustRightInd w:val="0"/>
      <w:ind w:right="26" w:firstLine="480"/>
    </w:pPr>
    <w:rPr>
      <w:rFonts w:ascii="楷体_GB2312" w:hAnsi="Times New Roman" w:eastAsia="楷体_GB2312" w:cs="Times New Roman"/>
      <w:sz w:val="28"/>
      <w:lang w:val="en-US" w:eastAsia="zh-CN" w:bidi="ar-SA"/>
    </w:rPr>
  </w:style>
  <w:style w:type="paragraph" w:customStyle="1" w:styleId="305">
    <w:name w:val="xl39"/>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b/>
      <w:bCs/>
      <w:kern w:val="0"/>
      <w:sz w:val="24"/>
    </w:rPr>
  </w:style>
  <w:style w:type="paragraph" w:styleId="306">
    <w:name w:val="List Paragraph"/>
    <w:basedOn w:val="1"/>
    <w:qFormat/>
    <w:uiPriority w:val="34"/>
    <w:pPr>
      <w:ind w:firstLine="420" w:firstLineChars="200"/>
    </w:pPr>
  </w:style>
  <w:style w:type="paragraph" w:customStyle="1" w:styleId="30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308">
    <w:name w:val="样式"/>
    <w:qFormat/>
    <w:uiPriority w:val="0"/>
    <w:pPr>
      <w:widowControl w:val="0"/>
      <w:autoSpaceDE w:val="0"/>
      <w:autoSpaceDN w:val="0"/>
      <w:adjustRightInd w:val="0"/>
    </w:pPr>
    <w:rPr>
      <w:rFonts w:ascii="Arial" w:hAnsi="Arial" w:eastAsia="宋体" w:cs="Arial"/>
      <w:sz w:val="24"/>
      <w:szCs w:val="24"/>
      <w:lang w:val="en-US" w:eastAsia="zh-CN" w:bidi="ar-SA"/>
    </w:rPr>
  </w:style>
  <w:style w:type="paragraph" w:customStyle="1" w:styleId="309">
    <w:name w:val="回信地址"/>
    <w:basedOn w:val="1"/>
    <w:qFormat/>
    <w:uiPriority w:val="0"/>
    <w:pPr>
      <w:widowControl/>
      <w:spacing w:before="100" w:beforeAutospacing="1" w:afterLines="200" w:line="320" w:lineRule="exact"/>
      <w:ind w:firstLine="567"/>
      <w:jc w:val="center"/>
    </w:pPr>
    <w:rPr>
      <w:rFonts w:ascii="Garamond" w:hAnsi="Garamond" w:eastAsia="黑体"/>
      <w:spacing w:val="-3"/>
      <w:kern w:val="0"/>
      <w:sz w:val="22"/>
      <w:szCs w:val="20"/>
      <w:lang w:bidi="he-IL"/>
    </w:rPr>
  </w:style>
  <w:style w:type="paragraph" w:customStyle="1" w:styleId="310">
    <w:name w:val="表格5"/>
    <w:basedOn w:val="1"/>
    <w:qFormat/>
    <w:uiPriority w:val="0"/>
    <w:rPr>
      <w:rFonts w:eastAsia="仿宋_GB2312"/>
      <w:szCs w:val="21"/>
    </w:rPr>
  </w:style>
  <w:style w:type="paragraph" w:customStyle="1" w:styleId="31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12">
    <w:name w:val="表格文字"/>
    <w:basedOn w:val="14"/>
    <w:next w:val="14"/>
    <w:qFormat/>
    <w:uiPriority w:val="0"/>
    <w:pPr>
      <w:adjustRightInd w:val="0"/>
      <w:snapToGrid w:val="0"/>
      <w:ind w:firstLine="0" w:firstLineChars="0"/>
      <w:jc w:val="center"/>
    </w:pPr>
    <w:rPr>
      <w:rFonts w:ascii="宋体"/>
      <w:bCs/>
    </w:rPr>
  </w:style>
  <w:style w:type="paragraph" w:customStyle="1" w:styleId="31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rPr>
  </w:style>
  <w:style w:type="paragraph" w:customStyle="1" w:styleId="314">
    <w:name w:val="PP 行"/>
    <w:basedOn w:val="35"/>
    <w:qFormat/>
    <w:uiPriority w:val="0"/>
  </w:style>
  <w:style w:type="paragraph" w:customStyle="1" w:styleId="31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16">
    <w:name w:val="内部地址姓名"/>
    <w:basedOn w:val="1"/>
    <w:qFormat/>
    <w:uiPriority w:val="0"/>
  </w:style>
  <w:style w:type="paragraph" w:customStyle="1" w:styleId="317">
    <w:name w:val="title1"/>
    <w:basedOn w:val="1"/>
    <w:qFormat/>
    <w:uiPriority w:val="0"/>
    <w:pPr>
      <w:widowControl/>
      <w:spacing w:before="300" w:after="300" w:line="480" w:lineRule="auto"/>
      <w:jc w:val="left"/>
    </w:pPr>
    <w:rPr>
      <w:rFonts w:ascii="??" w:hAnsi="??" w:cs="宋体"/>
      <w:color w:val="000000"/>
      <w:kern w:val="0"/>
      <w:sz w:val="24"/>
    </w:rPr>
  </w:style>
  <w:style w:type="paragraph" w:customStyle="1" w:styleId="318">
    <w:name w:val="杨"/>
    <w:basedOn w:val="1"/>
    <w:qFormat/>
    <w:uiPriority w:val="0"/>
    <w:pPr>
      <w:adjustRightInd w:val="0"/>
      <w:spacing w:before="60" w:after="60" w:line="380" w:lineRule="atLeast"/>
      <w:ind w:firstLine="482"/>
      <w:textAlignment w:val="baseline"/>
    </w:pPr>
    <w:rPr>
      <w:rFonts w:ascii="Arial Narrow" w:hAnsi="Arial Narrow" w:cs="Arial Narrow"/>
      <w:kern w:val="0"/>
      <w:sz w:val="24"/>
    </w:rPr>
  </w:style>
  <w:style w:type="paragraph" w:customStyle="1" w:styleId="319">
    <w:name w:val="正"/>
    <w:basedOn w:val="1"/>
    <w:qFormat/>
    <w:uiPriority w:val="0"/>
    <w:pPr>
      <w:widowControl/>
      <w:autoSpaceDE w:val="0"/>
      <w:autoSpaceDN w:val="0"/>
      <w:adjustRightInd w:val="0"/>
      <w:spacing w:line="360" w:lineRule="auto"/>
      <w:ind w:firstLine="510"/>
      <w:textAlignment w:val="bottom"/>
    </w:pPr>
    <w:rPr>
      <w:kern w:val="0"/>
      <w:sz w:val="24"/>
      <w:szCs w:val="20"/>
    </w:rPr>
  </w:style>
  <w:style w:type="paragraph" w:customStyle="1" w:styleId="320">
    <w:name w:val="样式w"/>
    <w:basedOn w:val="1"/>
    <w:qFormat/>
    <w:uiPriority w:val="0"/>
    <w:pPr>
      <w:widowControl/>
      <w:spacing w:line="360" w:lineRule="auto"/>
      <w:ind w:firstLine="630"/>
      <w:jc w:val="center"/>
    </w:pPr>
    <w:rPr>
      <w:rFonts w:ascii="黑体" w:eastAsia="黑体"/>
      <w:b/>
      <w:color w:val="000000"/>
      <w:kern w:val="0"/>
      <w:sz w:val="32"/>
      <w:szCs w:val="20"/>
    </w:rPr>
  </w:style>
  <w:style w:type="paragraph" w:customStyle="1" w:styleId="321">
    <w:name w:val="样式 招股书正文 + (符号) Arial 加粗"/>
    <w:basedOn w:val="228"/>
    <w:qFormat/>
    <w:uiPriority w:val="0"/>
    <w:rPr>
      <w:bCs/>
    </w:rPr>
  </w:style>
  <w:style w:type="paragraph" w:customStyle="1" w:styleId="322">
    <w:name w:val="xl5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23">
    <w:name w:val="xl54"/>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宋体" w:hAnsi="宋体"/>
      <w:kern w:val="0"/>
      <w:sz w:val="20"/>
      <w:szCs w:val="20"/>
    </w:rPr>
  </w:style>
  <w:style w:type="paragraph" w:customStyle="1" w:styleId="324">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5">
    <w:name w:val="×Ó±êÌâ3-×¢ÊÍ"/>
    <w:basedOn w:val="1"/>
    <w:qFormat/>
    <w:uiPriority w:val="0"/>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kern w:val="0"/>
      <w:sz w:val="24"/>
      <w:szCs w:val="20"/>
    </w:rPr>
  </w:style>
  <w:style w:type="paragraph" w:customStyle="1" w:styleId="326">
    <w:name w:val="Table Text"/>
    <w:qFormat/>
    <w:uiPriority w:val="0"/>
    <w:rPr>
      <w:rFonts w:ascii="Times New Roman" w:hAnsi="Times New Roman" w:eastAsia="宋体" w:cs="Times New Roman"/>
      <w:snapToGrid w:val="0"/>
      <w:color w:val="000000"/>
      <w:sz w:val="24"/>
      <w:lang w:val="en-US" w:eastAsia="zh-CN" w:bidi="ar-SA"/>
    </w:rPr>
  </w:style>
  <w:style w:type="paragraph" w:customStyle="1" w:styleId="327">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32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color w:val="000000"/>
      <w:kern w:val="0"/>
      <w:sz w:val="24"/>
    </w:rPr>
  </w:style>
  <w:style w:type="paragraph" w:customStyle="1" w:styleId="329">
    <w:name w:val="6"/>
    <w:basedOn w:val="1"/>
    <w:next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330">
    <w:name w:val="样式 招股书标题3 + (中文) 宋体 小五"/>
    <w:basedOn w:val="331"/>
    <w:qFormat/>
    <w:uiPriority w:val="0"/>
    <w:rPr>
      <w:rFonts w:ascii="Arial" w:hAnsi="Arial" w:eastAsia="宋体"/>
      <w:b w:val="0"/>
      <w:sz w:val="18"/>
    </w:rPr>
  </w:style>
  <w:style w:type="paragraph" w:customStyle="1" w:styleId="331">
    <w:name w:val="招股书标题3"/>
    <w:basedOn w:val="1"/>
    <w:next w:val="228"/>
    <w:qFormat/>
    <w:uiPriority w:val="0"/>
    <w:pPr>
      <w:spacing w:line="360" w:lineRule="auto"/>
      <w:ind w:firstLine="200" w:firstLineChars="200"/>
      <w:outlineLvl w:val="3"/>
    </w:pPr>
    <w:rPr>
      <w:rFonts w:ascii="宋体" w:hAnsi="宋体" w:eastAsia="楷体_GB2312" w:cs="宋体"/>
      <w:b/>
      <w:bCs/>
      <w:kern w:val="0"/>
      <w:position w:val="2"/>
      <w:sz w:val="24"/>
    </w:rPr>
  </w:style>
  <w:style w:type="paragraph" w:customStyle="1" w:styleId="332">
    <w:name w:val="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33">
    <w:name w:val="陈式标题5"/>
    <w:basedOn w:val="205"/>
    <w:qFormat/>
    <w:uiPriority w:val="0"/>
  </w:style>
  <w:style w:type="paragraph" w:customStyle="1" w:styleId="3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35">
    <w:name w:val="Level 3"/>
    <w:qFormat/>
    <w:uiPriority w:val="0"/>
    <w:pPr>
      <w:widowControl w:val="0"/>
      <w:tabs>
        <w:tab w:val="left" w:pos="720"/>
        <w:tab w:val="left" w:pos="1425"/>
      </w:tabs>
      <w:spacing w:after="288"/>
      <w:ind w:left="2160"/>
      <w:jc w:val="both"/>
    </w:pPr>
    <w:rPr>
      <w:rFonts w:ascii="Times New Roman" w:hAnsi="Times New Roman" w:eastAsia="宋体" w:cs="Times New Roman"/>
      <w:snapToGrid w:val="0"/>
      <w:color w:val="000000"/>
      <w:sz w:val="24"/>
      <w:lang w:val="en-US" w:eastAsia="en-US" w:bidi="ar-SA"/>
    </w:rPr>
  </w:style>
  <w:style w:type="paragraph" w:customStyle="1" w:styleId="33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37">
    <w:name w:val="Indent"/>
    <w:qFormat/>
    <w:uiPriority w:val="0"/>
    <w:pPr>
      <w:widowControl w:val="0"/>
      <w:tabs>
        <w:tab w:val="left" w:pos="1425"/>
        <w:tab w:val="left" w:pos="2175"/>
        <w:tab w:val="left" w:pos="2895"/>
      </w:tabs>
      <w:spacing w:after="288"/>
      <w:ind w:left="720"/>
      <w:jc w:val="both"/>
    </w:pPr>
    <w:rPr>
      <w:rFonts w:ascii="Times New Roman" w:hAnsi="Times New Roman" w:eastAsia="宋体" w:cs="Times New Roman"/>
      <w:snapToGrid w:val="0"/>
      <w:color w:val="000000"/>
      <w:sz w:val="24"/>
      <w:lang w:val="en-US" w:eastAsia="en-US" w:bidi="ar-SA"/>
    </w:rPr>
  </w:style>
  <w:style w:type="paragraph" w:customStyle="1" w:styleId="338">
    <w:name w:val="font8"/>
    <w:basedOn w:val="1"/>
    <w:qFormat/>
    <w:uiPriority w:val="0"/>
    <w:pPr>
      <w:widowControl/>
      <w:spacing w:before="100" w:beforeAutospacing="1" w:after="100" w:afterAutospacing="1"/>
      <w:jc w:val="left"/>
    </w:pPr>
    <w:rPr>
      <w:rFonts w:hint="eastAsia" w:ascii="宋体" w:hAnsi="宋体"/>
      <w:i/>
      <w:iCs/>
      <w:kern w:val="0"/>
      <w:szCs w:val="21"/>
    </w:rPr>
  </w:style>
  <w:style w:type="paragraph" w:customStyle="1" w:styleId="339">
    <w:name w:val="LettHd_Only"/>
    <w:qFormat/>
    <w:uiPriority w:val="0"/>
    <w:pPr>
      <w:autoSpaceDE w:val="0"/>
      <w:autoSpaceDN w:val="0"/>
      <w:ind w:left="56"/>
    </w:pPr>
    <w:rPr>
      <w:rFonts w:ascii="Helvetica" w:hAnsi="Helvetica" w:eastAsia="宋体" w:cs="Times New Roman"/>
      <w:color w:val="000000"/>
      <w:sz w:val="14"/>
      <w:lang w:val="en-US" w:eastAsia="zh-CN" w:bidi="ar-SA"/>
    </w:rPr>
  </w:style>
  <w:style w:type="paragraph" w:customStyle="1" w:styleId="340">
    <w:name w:val="表格标题"/>
    <w:basedOn w:val="1"/>
    <w:qFormat/>
    <w:uiPriority w:val="0"/>
    <w:pPr>
      <w:spacing w:before="240" w:after="240" w:line="360" w:lineRule="atLeast"/>
      <w:jc w:val="center"/>
    </w:pPr>
    <w:rPr>
      <w:rFonts w:ascii="Garamond" w:hAnsi="Garamond" w:eastAsia="仿宋_GB2312"/>
      <w:b/>
      <w:sz w:val="30"/>
      <w:szCs w:val="20"/>
    </w:rPr>
  </w:style>
  <w:style w:type="paragraph" w:customStyle="1" w:styleId="341">
    <w:name w:val="样式 样式 样式 样式 首行缩进:  2 字符1 + 首行缩进:  2 字符 + 行距: 1.5 倍行距 Char + 首行缩进..."/>
    <w:basedOn w:val="1"/>
    <w:qFormat/>
    <w:uiPriority w:val="0"/>
    <w:pPr>
      <w:spacing w:line="360" w:lineRule="auto"/>
      <w:ind w:firstLine="560" w:firstLineChars="200"/>
    </w:pPr>
    <w:rPr>
      <w:sz w:val="28"/>
      <w:szCs w:val="28"/>
    </w:rPr>
  </w:style>
  <w:style w:type="paragraph" w:customStyle="1" w:styleId="342">
    <w:name w:val="2"/>
    <w:basedOn w:val="1"/>
    <w:next w:val="1"/>
    <w:qFormat/>
    <w:uiPriority w:val="0"/>
    <w:pPr>
      <w:widowControl/>
      <w:spacing w:before="100" w:beforeAutospacing="1" w:after="100" w:afterAutospacing="1"/>
      <w:jc w:val="left"/>
    </w:pPr>
    <w:rPr>
      <w:rFonts w:ascii="Arial Unicode MS" w:hAnsi="Arial Unicode MS" w:eastAsia="Arial Unicode MS"/>
      <w:color w:val="000000"/>
      <w:kern w:val="0"/>
      <w:sz w:val="24"/>
    </w:rPr>
  </w:style>
  <w:style w:type="paragraph" w:customStyle="1" w:styleId="343">
    <w:name w:val="样式 标题 2第一章 标题 2Heading 2 HiddenHeading 2 CCBSheading 2h21....1"/>
    <w:basedOn w:val="3"/>
    <w:qFormat/>
    <w:uiPriority w:val="0"/>
    <w:pPr>
      <w:spacing w:line="360" w:lineRule="auto"/>
      <w:jc w:val="center"/>
    </w:pPr>
    <w:rPr>
      <w:rFonts w:ascii="仿宋_GB2312" w:hAnsi="仿宋_GB2312" w:eastAsia="仿宋_GB2312" w:cs="宋体"/>
      <w:bCs/>
      <w:sz w:val="28"/>
    </w:rPr>
  </w:style>
  <w:style w:type="paragraph" w:customStyle="1" w:styleId="344">
    <w:name w:val="纯文本1"/>
    <w:basedOn w:val="1"/>
    <w:qFormat/>
    <w:uiPriority w:val="0"/>
    <w:pPr>
      <w:adjustRightInd w:val="0"/>
      <w:textAlignment w:val="baseline"/>
    </w:pPr>
    <w:rPr>
      <w:rFonts w:ascii="宋体"/>
      <w:kern w:val="0"/>
      <w:szCs w:val="20"/>
    </w:rPr>
  </w:style>
  <w:style w:type="paragraph" w:customStyle="1" w:styleId="345">
    <w:name w:val="5"/>
    <w:basedOn w:val="1"/>
    <w:next w:val="45"/>
    <w:qFormat/>
    <w:uiPriority w:val="0"/>
    <w:pPr>
      <w:spacing w:line="500" w:lineRule="exact"/>
      <w:ind w:right="28"/>
    </w:pPr>
    <w:rPr>
      <w:rFonts w:ascii="宋体" w:hAnsi="宋体" w:cs="Arial"/>
      <w:color w:val="3366FF"/>
      <w:sz w:val="24"/>
    </w:rPr>
  </w:style>
  <w:style w:type="paragraph" w:customStyle="1" w:styleId="346">
    <w:name w:val="屈正文"/>
    <w:basedOn w:val="1"/>
    <w:qFormat/>
    <w:uiPriority w:val="0"/>
    <w:pPr>
      <w:tabs>
        <w:tab w:val="left" w:pos="1280"/>
      </w:tabs>
      <w:spacing w:after="120"/>
      <w:ind w:firstLine="560"/>
    </w:pPr>
    <w:rPr>
      <w:rFonts w:ascii="Garamond" w:hAnsi="Garamond" w:eastAsia="仿宋_GB2312"/>
      <w:sz w:val="28"/>
      <w:szCs w:val="20"/>
    </w:rPr>
  </w:style>
  <w:style w:type="paragraph" w:customStyle="1" w:styleId="347">
    <w:name w:val="主标题"/>
    <w:basedOn w:val="20"/>
    <w:qFormat/>
    <w:uiPriority w:val="0"/>
    <w:pPr>
      <w:spacing w:before="360" w:after="360" w:line="360" w:lineRule="auto"/>
      <w:jc w:val="center"/>
    </w:pPr>
    <w:rPr>
      <w:rFonts w:ascii="文鼎小标宋简" w:hAnsi="Garamond" w:eastAsia="文鼎小标宋简"/>
      <w:sz w:val="40"/>
      <w:szCs w:val="20"/>
    </w:rPr>
  </w:style>
  <w:style w:type="paragraph" w:customStyle="1" w:styleId="348">
    <w:name w:val="王式"/>
    <w:qFormat/>
    <w:uiPriority w:val="0"/>
    <w:pPr>
      <w:spacing w:line="360" w:lineRule="auto"/>
      <w:ind w:right="284"/>
      <w:jc w:val="both"/>
    </w:pPr>
    <w:rPr>
      <w:rFonts w:ascii="Times New Roman" w:hAnsi="Times New Roman" w:eastAsia="楷体_GB2312" w:cs="Times New Roman"/>
      <w:sz w:val="28"/>
      <w:lang w:val="en-US" w:eastAsia="zh-CN" w:bidi="ar-SA"/>
    </w:rPr>
  </w:style>
  <w:style w:type="paragraph" w:customStyle="1" w:styleId="34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50">
    <w:name w:val="Tickbox"/>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51">
    <w:name w:val="正文文本 22"/>
    <w:basedOn w:val="1"/>
    <w:qFormat/>
    <w:uiPriority w:val="0"/>
    <w:pPr>
      <w:adjustRightInd w:val="0"/>
      <w:ind w:firstLine="420"/>
      <w:jc w:val="left"/>
      <w:textAlignment w:val="baseline"/>
    </w:pPr>
    <w:rPr>
      <w:rFonts w:ascii="宋体"/>
      <w:color w:val="000000"/>
      <w:sz w:val="24"/>
      <w:szCs w:val="20"/>
    </w:rPr>
  </w:style>
  <w:style w:type="paragraph" w:customStyle="1" w:styleId="352">
    <w:name w:val="msonospac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353">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54">
    <w:name w:val="表文"/>
    <w:basedOn w:val="1"/>
    <w:qFormat/>
    <w:uiPriority w:val="0"/>
    <w:pPr>
      <w:adjustRightInd w:val="0"/>
      <w:snapToGrid w:val="0"/>
      <w:jc w:val="center"/>
    </w:pPr>
    <w:rPr>
      <w:rFonts w:ascii="仿宋_GB2312" w:eastAsia="仿宋_GB2312"/>
      <w:sz w:val="18"/>
      <w:szCs w:val="20"/>
    </w:rPr>
  </w:style>
  <w:style w:type="paragraph" w:customStyle="1" w:styleId="355">
    <w:name w:val="大标题"/>
    <w:basedOn w:val="20"/>
    <w:qFormat/>
    <w:uiPriority w:val="0"/>
    <w:pPr>
      <w:spacing w:after="0" w:line="360" w:lineRule="auto"/>
      <w:outlineLvl w:val="0"/>
    </w:pPr>
    <w:rPr>
      <w:rFonts w:ascii="仿宋_GB2312" w:eastAsia="仿宋_GB2312"/>
      <w:b/>
      <w:sz w:val="24"/>
      <w:szCs w:val="20"/>
    </w:rPr>
  </w:style>
  <w:style w:type="paragraph" w:customStyle="1" w:styleId="356">
    <w:name w:val="正文文本缩进 21"/>
    <w:basedOn w:val="1"/>
    <w:qFormat/>
    <w:uiPriority w:val="0"/>
    <w:pPr>
      <w:adjustRightInd w:val="0"/>
      <w:ind w:firstLine="435"/>
      <w:jc w:val="left"/>
      <w:textAlignment w:val="baseline"/>
    </w:pPr>
    <w:rPr>
      <w:color w:val="000000"/>
      <w:sz w:val="28"/>
      <w:szCs w:val="20"/>
    </w:rPr>
  </w:style>
  <w:style w:type="paragraph" w:customStyle="1" w:styleId="357">
    <w:name w:val="样式6"/>
    <w:basedOn w:val="1"/>
    <w:qFormat/>
    <w:uiPriority w:val="0"/>
    <w:pPr>
      <w:tabs>
        <w:tab w:val="left" w:pos="1379"/>
      </w:tabs>
      <w:spacing w:after="120"/>
      <w:ind w:left="1379" w:hanging="420"/>
    </w:pPr>
    <w:rPr>
      <w:rFonts w:eastAsia="楷体_GB2312"/>
      <w:sz w:val="24"/>
    </w:rPr>
  </w:style>
  <w:style w:type="paragraph" w:customStyle="1" w:styleId="358">
    <w:name w:val="样式7"/>
    <w:basedOn w:val="1"/>
    <w:qFormat/>
    <w:uiPriority w:val="0"/>
    <w:pPr>
      <w:tabs>
        <w:tab w:val="left" w:pos="992"/>
        <w:tab w:val="left" w:pos="1799"/>
      </w:tabs>
      <w:spacing w:after="120"/>
      <w:ind w:left="992" w:hanging="420"/>
    </w:pPr>
    <w:rPr>
      <w:rFonts w:eastAsia="楷体_GB2312"/>
      <w:sz w:val="24"/>
    </w:rPr>
  </w:style>
  <w:style w:type="paragraph" w:customStyle="1" w:styleId="359">
    <w:name w:val="b15"/>
    <w:basedOn w:val="1"/>
    <w:qFormat/>
    <w:uiPriority w:val="0"/>
    <w:pPr>
      <w:widowControl/>
      <w:spacing w:before="100" w:beforeAutospacing="1" w:after="100" w:afterAutospacing="1"/>
      <w:jc w:val="left"/>
    </w:pPr>
    <w:rPr>
      <w:rFonts w:ascii="宋体" w:hAnsi="宋体"/>
      <w:b/>
      <w:bCs/>
      <w:color w:val="000000"/>
      <w:kern w:val="0"/>
      <w:sz w:val="23"/>
      <w:szCs w:val="23"/>
    </w:rPr>
  </w:style>
  <w:style w:type="paragraph" w:customStyle="1" w:styleId="360">
    <w:name w:val="Bullet"/>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61">
    <w:name w:val="日期1"/>
    <w:basedOn w:val="1"/>
    <w:next w:val="1"/>
    <w:qFormat/>
    <w:uiPriority w:val="0"/>
    <w:pPr>
      <w:adjustRightInd w:val="0"/>
      <w:spacing w:line="312" w:lineRule="atLeast"/>
      <w:textAlignment w:val="baseline"/>
    </w:pPr>
    <w:rPr>
      <w:rFonts w:ascii="宋体"/>
      <w:kern w:val="0"/>
      <w:sz w:val="28"/>
      <w:szCs w:val="20"/>
    </w:rPr>
  </w:style>
  <w:style w:type="paragraph" w:customStyle="1" w:styleId="362">
    <w:name w:val="正文_缩进"/>
    <w:basedOn w:val="1"/>
    <w:qFormat/>
    <w:uiPriority w:val="0"/>
    <w:pPr>
      <w:spacing w:line="360" w:lineRule="auto"/>
      <w:ind w:firstLine="200" w:firstLineChars="200"/>
    </w:pPr>
    <w:rPr>
      <w:rFonts w:ascii="Arial" w:hAnsi="Arial" w:eastAsia="Times New Roman" w:cs="Arial"/>
      <w:sz w:val="24"/>
    </w:rPr>
  </w:style>
  <w:style w:type="paragraph" w:customStyle="1" w:styleId="363">
    <w:name w:val="textbody-c1"/>
    <w:basedOn w:val="1"/>
    <w:qFormat/>
    <w:uiPriority w:val="0"/>
    <w:pPr>
      <w:widowControl/>
      <w:spacing w:before="100" w:beforeAutospacing="1" w:after="100" w:afterAutospacing="1"/>
      <w:jc w:val="left"/>
    </w:pPr>
    <w:rPr>
      <w:rFonts w:ascii="宋体" w:hAnsi="宋体" w:cs="宋体"/>
      <w:kern w:val="0"/>
      <w:sz w:val="24"/>
    </w:rPr>
  </w:style>
  <w:style w:type="paragraph" w:customStyle="1" w:styleId="364">
    <w:name w:val="xl77"/>
    <w:basedOn w:val="1"/>
    <w:qFormat/>
    <w:uiPriority w:val="0"/>
    <w:pPr>
      <w:widowControl/>
      <w:spacing w:before="100" w:beforeAutospacing="1" w:after="100" w:afterAutospacing="1"/>
      <w:jc w:val="right"/>
      <w:textAlignment w:val="center"/>
    </w:pPr>
    <w:rPr>
      <w:rFonts w:ascii="宋体" w:hAnsi="宋体"/>
      <w:kern w:val="0"/>
      <w:sz w:val="24"/>
    </w:rPr>
  </w:style>
  <w:style w:type="paragraph" w:customStyle="1" w:styleId="365">
    <w:name w:val="Bullet small"/>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66">
    <w:name w:val="样式 招股书标题3 + (西文) Arial (中文) 宋体 非加粗"/>
    <w:basedOn w:val="1"/>
    <w:qFormat/>
    <w:uiPriority w:val="0"/>
    <w:pPr>
      <w:spacing w:beforeLines="50" w:afterLines="50" w:line="360" w:lineRule="auto"/>
      <w:ind w:firstLine="200" w:firstLineChars="200"/>
      <w:outlineLvl w:val="3"/>
    </w:pPr>
    <w:rPr>
      <w:rFonts w:ascii="Arial" w:hAnsi="Arial" w:cs="宋体"/>
      <w:b/>
      <w:kern w:val="0"/>
      <w:position w:val="2"/>
      <w:sz w:val="24"/>
    </w:rPr>
  </w:style>
  <w:style w:type="paragraph" w:customStyle="1" w:styleId="367">
    <w:name w:val="陈定正文式"/>
    <w:basedOn w:val="1"/>
    <w:qFormat/>
    <w:uiPriority w:val="0"/>
    <w:pPr>
      <w:spacing w:line="312" w:lineRule="auto"/>
      <w:ind w:left="680" w:firstLine="578"/>
    </w:pPr>
    <w:rPr>
      <w:sz w:val="24"/>
      <w:szCs w:val="20"/>
    </w:rPr>
  </w:style>
  <w:style w:type="paragraph" w:customStyle="1" w:styleId="368">
    <w:name w:val="纯文本11"/>
    <w:basedOn w:val="1"/>
    <w:qFormat/>
    <w:uiPriority w:val="0"/>
    <w:pPr>
      <w:adjustRightInd w:val="0"/>
      <w:textAlignment w:val="baseline"/>
    </w:pPr>
    <w:rPr>
      <w:rFonts w:ascii="宋体" w:hAnsi="Courier New"/>
      <w:szCs w:val="20"/>
    </w:rPr>
  </w:style>
  <w:style w:type="paragraph" w:customStyle="1" w:styleId="369">
    <w:name w:val="AT表头"/>
    <w:basedOn w:val="258"/>
    <w:qFormat/>
    <w:uiPriority w:val="0"/>
    <w:pPr>
      <w:ind w:firstLine="0" w:firstLineChars="0"/>
      <w:jc w:val="center"/>
    </w:pPr>
    <w:rPr>
      <w:b/>
    </w:rPr>
  </w:style>
  <w:style w:type="paragraph" w:customStyle="1" w:styleId="370">
    <w:name w:val="b12"/>
    <w:basedOn w:val="1"/>
    <w:qFormat/>
    <w:uiPriority w:val="0"/>
    <w:pPr>
      <w:widowControl/>
      <w:spacing w:before="100" w:beforeAutospacing="1" w:after="100" w:afterAutospacing="1"/>
      <w:jc w:val="left"/>
    </w:pPr>
    <w:rPr>
      <w:rFonts w:ascii="宋体" w:hAnsi="宋体"/>
      <w:b/>
      <w:bCs/>
      <w:color w:val="000000"/>
      <w:kern w:val="0"/>
      <w:sz w:val="18"/>
      <w:szCs w:val="18"/>
    </w:rPr>
  </w:style>
  <w:style w:type="paragraph" w:customStyle="1" w:styleId="371">
    <w:name w:val="於"/>
    <w:basedOn w:val="1"/>
    <w:qFormat/>
    <w:uiPriority w:val="0"/>
    <w:pPr>
      <w:spacing w:line="360" w:lineRule="auto"/>
      <w:ind w:firstLine="200" w:firstLineChars="200"/>
    </w:pPr>
    <w:rPr>
      <w:rFonts w:ascii="宋体" w:hAnsi="宋体" w:cs="宋体"/>
      <w:sz w:val="30"/>
      <w:szCs w:val="30"/>
    </w:rPr>
  </w:style>
  <w:style w:type="paragraph" w:customStyle="1" w:styleId="372">
    <w:name w:val="Box bullet"/>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73">
    <w:name w:val="AT表格"/>
    <w:basedOn w:val="1"/>
    <w:qFormat/>
    <w:uiPriority w:val="0"/>
    <w:pPr>
      <w:widowControl/>
      <w:jc w:val="center"/>
    </w:pPr>
    <w:rPr>
      <w:rFonts w:ascii="Arial Narrow" w:hAnsi="Arial Narrow" w:eastAsia="仿宋_GB2312"/>
      <w:color w:val="000000"/>
      <w:kern w:val="0"/>
      <w:sz w:val="18"/>
      <w:szCs w:val="18"/>
    </w:rPr>
  </w:style>
  <w:style w:type="paragraph" w:customStyle="1" w:styleId="374">
    <w:name w:val="陈式标题1"/>
    <w:basedOn w:val="2"/>
    <w:qFormat/>
    <w:uiPriority w:val="0"/>
    <w:pPr>
      <w:spacing w:before="240" w:after="360" w:line="240" w:lineRule="auto"/>
      <w:ind w:firstLine="567"/>
      <w:jc w:val="center"/>
    </w:pPr>
    <w:rPr>
      <w:spacing w:val="40"/>
      <w:sz w:val="44"/>
    </w:rPr>
  </w:style>
  <w:style w:type="paragraph" w:customStyle="1" w:styleId="375">
    <w:name w:val="尾注文字"/>
    <w:basedOn w:val="1"/>
    <w:qFormat/>
    <w:uiPriority w:val="0"/>
    <w:pPr>
      <w:adjustRightInd w:val="0"/>
      <w:spacing w:line="360" w:lineRule="atLeast"/>
      <w:textAlignment w:val="baseline"/>
    </w:pPr>
    <w:rPr>
      <w:rFonts w:ascii="宋体"/>
      <w:kern w:val="0"/>
      <w:sz w:val="28"/>
      <w:szCs w:val="20"/>
    </w:rPr>
  </w:style>
  <w:style w:type="paragraph" w:customStyle="1" w:styleId="376">
    <w:name w:val="xbt"/>
    <w:basedOn w:val="1"/>
    <w:qFormat/>
    <w:uiPriority w:val="0"/>
    <w:pPr>
      <w:adjustRightInd w:val="0"/>
      <w:spacing w:before="360" w:after="120" w:line="440" w:lineRule="atLeast"/>
      <w:jc w:val="left"/>
    </w:pPr>
    <w:rPr>
      <w:rFonts w:eastAsia="黑体"/>
      <w:b/>
      <w:kern w:val="0"/>
      <w:sz w:val="30"/>
      <w:szCs w:val="20"/>
    </w:rPr>
  </w:style>
  <w:style w:type="paragraph" w:customStyle="1" w:styleId="377">
    <w:name w:val="样式 标题 2第一章 标题 2Heading 2 HiddenHeading 2 CCBSheading 2h21...."/>
    <w:basedOn w:val="3"/>
    <w:qFormat/>
    <w:uiPriority w:val="0"/>
    <w:pPr>
      <w:spacing w:line="360" w:lineRule="auto"/>
      <w:jc w:val="center"/>
    </w:pPr>
    <w:rPr>
      <w:rFonts w:ascii="仿宋_GB2312" w:hAnsi="Arial Narrow" w:eastAsia="仿宋_GB2312" w:cs="宋体"/>
      <w:bCs/>
      <w:sz w:val="28"/>
    </w:rPr>
  </w:style>
  <w:style w:type="paragraph" w:customStyle="1" w:styleId="378">
    <w:name w:val="ZW1"/>
    <w:basedOn w:val="1"/>
    <w:qFormat/>
    <w:uiPriority w:val="0"/>
    <w:pPr>
      <w:spacing w:before="120" w:line="360" w:lineRule="auto"/>
      <w:ind w:firstLine="567"/>
    </w:pPr>
    <w:rPr>
      <w:rFonts w:ascii="Arial Narrow" w:hAnsi="Arial Narrow"/>
      <w:sz w:val="24"/>
      <w:szCs w:val="20"/>
    </w:rPr>
  </w:style>
  <w:style w:type="paragraph" w:customStyle="1" w:styleId="379">
    <w:name w:val="报告正文"/>
    <w:basedOn w:val="1"/>
    <w:qFormat/>
    <w:uiPriority w:val="0"/>
    <w:pPr>
      <w:topLinePunct/>
      <w:spacing w:line="288" w:lineRule="auto"/>
      <w:ind w:firstLine="360" w:firstLineChars="150"/>
    </w:pPr>
    <w:rPr>
      <w:rFonts w:hAnsi="黑体" w:eastAsia="黑体"/>
      <w:bCs/>
      <w:sz w:val="24"/>
    </w:rPr>
  </w:style>
  <w:style w:type="paragraph" w:customStyle="1" w:styleId="380">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381">
    <w:name w:val="标题3"/>
    <w:basedOn w:val="1"/>
    <w:qFormat/>
    <w:uiPriority w:val="0"/>
    <w:pPr>
      <w:tabs>
        <w:tab w:val="left" w:leader="middleDot" w:pos="7560"/>
      </w:tabs>
      <w:spacing w:line="360" w:lineRule="auto"/>
    </w:pPr>
    <w:rPr>
      <w:rFonts w:ascii="黑体" w:eastAsia="黑体"/>
      <w:sz w:val="28"/>
      <w:szCs w:val="20"/>
    </w:rPr>
  </w:style>
  <w:style w:type="paragraph" w:customStyle="1" w:styleId="382">
    <w:name w:val="font9"/>
    <w:basedOn w:val="1"/>
    <w:qFormat/>
    <w:uiPriority w:val="0"/>
    <w:pPr>
      <w:widowControl/>
      <w:spacing w:before="100" w:beforeAutospacing="1" w:after="100" w:afterAutospacing="1"/>
      <w:jc w:val="left"/>
    </w:pPr>
    <w:rPr>
      <w:rFonts w:eastAsia="Arial Unicode MS"/>
      <w:kern w:val="0"/>
      <w:sz w:val="24"/>
    </w:rPr>
  </w:style>
  <w:style w:type="paragraph" w:customStyle="1" w:styleId="383">
    <w:name w:val="Table MidLine"/>
    <w:qFormat/>
    <w:uiPriority w:val="0"/>
    <w:pPr>
      <w:widowControl w:val="0"/>
      <w:spacing w:line="360" w:lineRule="atLeast"/>
    </w:pPr>
    <w:rPr>
      <w:rFonts w:ascii="Times New Roman" w:hAnsi="Times New Roman" w:eastAsia="宋体" w:cs="Times New Roman"/>
      <w:snapToGrid w:val="0"/>
      <w:color w:val="000000"/>
      <w:sz w:val="24"/>
      <w:lang w:val="en-US" w:eastAsia="en-US" w:bidi="ar-SA"/>
    </w:rPr>
  </w:style>
  <w:style w:type="paragraph" w:customStyle="1" w:styleId="384">
    <w:name w:val="陈定正文B"/>
    <w:basedOn w:val="1"/>
    <w:qFormat/>
    <w:uiPriority w:val="0"/>
    <w:pPr>
      <w:spacing w:line="312" w:lineRule="auto"/>
      <w:ind w:left="680" w:firstLine="578"/>
    </w:pPr>
    <w:rPr>
      <w:rFonts w:eastAsia="幼圆"/>
      <w:sz w:val="24"/>
      <w:szCs w:val="20"/>
    </w:rPr>
  </w:style>
  <w:style w:type="paragraph" w:customStyle="1" w:styleId="385">
    <w:name w:val="xl1077"/>
    <w:basedOn w:val="1"/>
    <w:qFormat/>
    <w:uiPriority w:val="0"/>
    <w:pPr>
      <w:widowControl/>
      <w:spacing w:before="100" w:after="100"/>
      <w:jc w:val="center"/>
      <w:textAlignment w:val="center"/>
    </w:pPr>
    <w:rPr>
      <w:rFonts w:hint="eastAsia" w:ascii="仿宋_GB2312" w:hAnsi="宋体" w:eastAsia="仿宋_GB2312"/>
      <w:b/>
      <w:kern w:val="0"/>
      <w:sz w:val="24"/>
      <w:szCs w:val="20"/>
    </w:rPr>
  </w:style>
  <w:style w:type="paragraph" w:customStyle="1" w:styleId="386">
    <w:name w:val="招股书标题2"/>
    <w:basedOn w:val="1"/>
    <w:next w:val="228"/>
    <w:qFormat/>
    <w:uiPriority w:val="0"/>
    <w:pPr>
      <w:spacing w:line="360" w:lineRule="auto"/>
      <w:ind w:firstLine="200" w:firstLineChars="200"/>
      <w:outlineLvl w:val="2"/>
    </w:pPr>
    <w:rPr>
      <w:rFonts w:ascii="宋体" w:hAnsi="宋体" w:eastAsia="楷体_GB2312" w:cs="宋体"/>
      <w:b/>
      <w:bCs/>
      <w:position w:val="2"/>
      <w:sz w:val="24"/>
    </w:rPr>
  </w:style>
  <w:style w:type="paragraph" w:customStyle="1" w:styleId="387">
    <w:name w:val="表序"/>
    <w:basedOn w:val="1"/>
    <w:qFormat/>
    <w:uiPriority w:val="0"/>
    <w:pPr>
      <w:adjustRightInd w:val="0"/>
      <w:spacing w:beforeLines="20" w:afterLines="20"/>
      <w:ind w:firstLine="100" w:firstLineChars="100"/>
      <w:textAlignment w:val="baseline"/>
    </w:pPr>
    <w:rPr>
      <w:rFonts w:ascii="宋体" w:hAnsi="宋体" w:eastAsia="黑体"/>
      <w:color w:val="000000"/>
      <w:kern w:val="0"/>
      <w:sz w:val="24"/>
      <w:szCs w:val="20"/>
    </w:rPr>
  </w:style>
  <w:style w:type="paragraph" w:customStyle="1" w:styleId="388">
    <w:name w:val="Table bullet"/>
    <w:qFormat/>
    <w:uiPriority w:val="0"/>
    <w:pPr>
      <w:widowControl w:val="0"/>
      <w:ind w:left="316"/>
    </w:pPr>
    <w:rPr>
      <w:rFonts w:ascii="Times New Roman" w:hAnsi="Times New Roman" w:eastAsia="宋体" w:cs="Times New Roman"/>
      <w:snapToGrid w:val="0"/>
      <w:color w:val="000000"/>
      <w:sz w:val="24"/>
      <w:lang w:val="en-US" w:eastAsia="en-US" w:bidi="ar-SA"/>
    </w:rPr>
  </w:style>
  <w:style w:type="character" w:customStyle="1" w:styleId="389">
    <w:name w:val="zw Char"/>
    <w:qFormat/>
    <w:uiPriority w:val="0"/>
    <w:rPr>
      <w:rFonts w:ascii="Arial Narrow" w:eastAsia="昆仑楷体"/>
      <w:sz w:val="28"/>
      <w:lang w:val="en-US" w:eastAsia="zh-CN" w:bidi="ar-SA"/>
    </w:rPr>
  </w:style>
  <w:style w:type="paragraph" w:customStyle="1" w:styleId="390">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91">
    <w:name w:val="Char Char Char Char"/>
    <w:basedOn w:val="1"/>
    <w:qFormat/>
    <w:uiPriority w:val="0"/>
    <w:rPr>
      <w:szCs w:val="21"/>
    </w:rPr>
  </w:style>
  <w:style w:type="paragraph" w:customStyle="1" w:styleId="392">
    <w:name w:val="_Style 5"/>
    <w:basedOn w:val="1"/>
    <w:qFormat/>
    <w:uiPriority w:val="34"/>
    <w:pPr>
      <w:ind w:firstLine="420" w:firstLineChars="200"/>
    </w:pPr>
  </w:style>
  <w:style w:type="character" w:customStyle="1" w:styleId="393">
    <w:name w:val="访问过的超链接1"/>
    <w:qFormat/>
    <w:uiPriority w:val="0"/>
    <w:rPr>
      <w:color w:val="800080"/>
      <w:u w:val="single"/>
    </w:rPr>
  </w:style>
  <w:style w:type="paragraph" w:customStyle="1" w:styleId="394">
    <w:name w:val="估价项目名称"/>
    <w:basedOn w:val="1"/>
    <w:qFormat/>
    <w:uiPriority w:val="0"/>
    <w:pPr>
      <w:adjustRightInd w:val="0"/>
      <w:spacing w:line="520" w:lineRule="exact"/>
      <w:ind w:firstLine="560" w:firstLineChars="200"/>
      <w:textAlignment w:val="baseline"/>
    </w:pPr>
    <w:rPr>
      <w:rFonts w:eastAsia="仿宋_GB2312"/>
      <w:kern w:val="0"/>
      <w:sz w:val="28"/>
      <w:szCs w:val="20"/>
    </w:rPr>
  </w:style>
  <w:style w:type="paragraph" w:customStyle="1" w:styleId="395">
    <w:name w:val="小标题"/>
    <w:basedOn w:val="1"/>
    <w:qFormat/>
    <w:uiPriority w:val="0"/>
    <w:pPr>
      <w:autoSpaceDE w:val="0"/>
      <w:autoSpaceDN w:val="0"/>
      <w:adjustRightInd w:val="0"/>
      <w:spacing w:before="360" w:after="360" w:line="440" w:lineRule="atLeast"/>
      <w:jc w:val="left"/>
      <w:textAlignment w:val="baseline"/>
    </w:pPr>
    <w:rPr>
      <w:rFonts w:ascii="黑体" w:eastAsia="黑体"/>
      <w:b/>
      <w:spacing w:val="5"/>
      <w:kern w:val="0"/>
      <w:sz w:val="32"/>
      <w:szCs w:val="20"/>
    </w:rPr>
  </w:style>
  <w:style w:type="table" w:customStyle="1" w:styleId="396">
    <w:name w:val="网格型1"/>
    <w:basedOn w:val="5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7">
    <w:name w:val="列出段落1"/>
    <w:basedOn w:val="1"/>
    <w:qFormat/>
    <w:uiPriority w:val="34"/>
    <w:pPr>
      <w:ind w:firstLine="420" w:firstLineChars="200"/>
    </w:pPr>
  </w:style>
  <w:style w:type="paragraph" w:customStyle="1" w:styleId="39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99">
    <w:name w:val="样式11"/>
    <w:basedOn w:val="400"/>
    <w:qFormat/>
    <w:uiPriority w:val="0"/>
    <w:pPr>
      <w:tabs>
        <w:tab w:val="left" w:pos="360"/>
      </w:tabs>
      <w:spacing w:line="415" w:lineRule="auto"/>
      <w:ind w:left="1843" w:hanging="425"/>
      <w:outlineLvl w:val="3"/>
    </w:pPr>
  </w:style>
  <w:style w:type="paragraph" w:customStyle="1" w:styleId="400">
    <w:name w:val="样式3"/>
    <w:basedOn w:val="4"/>
    <w:link w:val="433"/>
    <w:qFormat/>
    <w:uiPriority w:val="0"/>
    <w:pPr>
      <w:numPr>
        <w:ilvl w:val="0"/>
        <w:numId w:val="0"/>
      </w:numPr>
      <w:tabs>
        <w:tab w:val="left" w:pos="360"/>
      </w:tabs>
      <w:adjustRightInd/>
      <w:spacing w:line="416" w:lineRule="auto"/>
      <w:ind w:left="360" w:hanging="360"/>
    </w:pPr>
    <w:rPr>
      <w:rFonts w:ascii="宋体" w:hAnsi="宋体" w:eastAsia="仿宋_GB2312"/>
      <w:bCs/>
      <w:sz w:val="28"/>
      <w:szCs w:val="32"/>
    </w:rPr>
  </w:style>
  <w:style w:type="paragraph" w:customStyle="1" w:styleId="401">
    <w:name w:val="TOC 标题11"/>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402">
    <w:name w:val="列出段落11"/>
    <w:basedOn w:val="1"/>
    <w:qFormat/>
    <w:uiPriority w:val="34"/>
    <w:pPr>
      <w:ind w:firstLine="420" w:firstLineChars="200"/>
    </w:pPr>
  </w:style>
  <w:style w:type="paragraph" w:customStyle="1" w:styleId="403">
    <w:name w:val="纯文本2"/>
    <w:basedOn w:val="1"/>
    <w:qFormat/>
    <w:uiPriority w:val="0"/>
    <w:pPr>
      <w:adjustRightInd w:val="0"/>
      <w:textAlignment w:val="baseline"/>
    </w:pPr>
    <w:rPr>
      <w:rFonts w:ascii="宋体"/>
      <w:kern w:val="0"/>
      <w:szCs w:val="20"/>
    </w:rPr>
  </w:style>
  <w:style w:type="paragraph" w:customStyle="1" w:styleId="404">
    <w:name w:val="Char2"/>
    <w:basedOn w:val="1"/>
    <w:qFormat/>
    <w:uiPriority w:val="0"/>
    <w:rPr>
      <w:rFonts w:ascii="Tahoma" w:hAnsi="Tahoma"/>
      <w:sz w:val="24"/>
      <w:szCs w:val="20"/>
    </w:rPr>
  </w:style>
  <w:style w:type="paragraph" w:customStyle="1" w:styleId="405">
    <w:name w:val="_Style 1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Char Char1 Char1"/>
    <w:basedOn w:val="17"/>
    <w:qFormat/>
    <w:uiPriority w:val="0"/>
    <w:pPr>
      <w:shd w:val="clear" w:color="auto" w:fill="000080"/>
    </w:pPr>
    <w:rPr>
      <w:rFonts w:ascii="Tahoma" w:hAnsi="Tahoma"/>
      <w:sz w:val="24"/>
      <w:szCs w:val="24"/>
    </w:rPr>
  </w:style>
  <w:style w:type="paragraph" w:customStyle="1" w:styleId="407">
    <w:name w:val="Char41"/>
    <w:basedOn w:val="1"/>
    <w:qFormat/>
    <w:uiPriority w:val="0"/>
    <w:rPr>
      <w:rFonts w:ascii="Tahoma" w:hAnsi="Tahoma"/>
      <w:sz w:val="24"/>
      <w:szCs w:val="20"/>
    </w:rPr>
  </w:style>
  <w:style w:type="paragraph" w:customStyle="1" w:styleId="408">
    <w:name w:val="Char11"/>
    <w:basedOn w:val="1"/>
    <w:link w:val="428"/>
    <w:qFormat/>
    <w:uiPriority w:val="0"/>
    <w:rPr>
      <w:rFonts w:ascii="Tahoma" w:hAnsi="Tahoma"/>
      <w:sz w:val="24"/>
      <w:szCs w:val="20"/>
    </w:rPr>
  </w:style>
  <w:style w:type="paragraph" w:customStyle="1" w:styleId="409">
    <w:name w:val="Char2 Char Char Char1"/>
    <w:basedOn w:val="1"/>
    <w:qFormat/>
    <w:uiPriority w:val="0"/>
    <w:rPr>
      <w:rFonts w:ascii="Tahoma" w:hAnsi="Tahoma"/>
      <w:sz w:val="24"/>
      <w:szCs w:val="20"/>
    </w:rPr>
  </w:style>
  <w:style w:type="paragraph" w:customStyle="1" w:styleId="410">
    <w:name w:val="Char1 Char Char Char1"/>
    <w:basedOn w:val="1"/>
    <w:qFormat/>
    <w:uiPriority w:val="0"/>
    <w:rPr>
      <w:rFonts w:ascii="Tahoma" w:hAnsi="Tahoma"/>
      <w:sz w:val="24"/>
      <w:szCs w:val="20"/>
    </w:rPr>
  </w:style>
  <w:style w:type="paragraph" w:customStyle="1" w:styleId="411">
    <w:name w:val="Char Char Char Char1"/>
    <w:basedOn w:val="1"/>
    <w:qFormat/>
    <w:uiPriority w:val="0"/>
    <w:rPr>
      <w:rFonts w:ascii="Tahoma" w:hAnsi="Tahoma"/>
      <w:sz w:val="24"/>
      <w:szCs w:val="20"/>
    </w:rPr>
  </w:style>
  <w:style w:type="paragraph" w:customStyle="1" w:styleId="412">
    <w:name w:val="Char4 Char Char Char Char Char Char Char Char Char Char Char Char Char Char1"/>
    <w:basedOn w:val="1"/>
    <w:qFormat/>
    <w:uiPriority w:val="0"/>
    <w:rPr>
      <w:rFonts w:ascii="Tahoma" w:hAnsi="Tahoma"/>
      <w:sz w:val="24"/>
      <w:szCs w:val="20"/>
    </w:rPr>
  </w:style>
  <w:style w:type="paragraph" w:customStyle="1" w:styleId="413">
    <w:name w:val="Char2 Char Char1 Char Char Char Char Char Char Char Char Char1"/>
    <w:basedOn w:val="1"/>
    <w:qFormat/>
    <w:uiPriority w:val="0"/>
    <w:rPr>
      <w:rFonts w:ascii="Tahoma" w:hAnsi="Tahoma"/>
      <w:sz w:val="24"/>
      <w:szCs w:val="20"/>
    </w:rPr>
  </w:style>
  <w:style w:type="paragraph" w:customStyle="1" w:styleId="41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15">
    <w:name w:val="正文3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16">
    <w:name w:val="Char Char Char Char Char Char Char1"/>
    <w:basedOn w:val="1"/>
    <w:qFormat/>
    <w:uiPriority w:val="0"/>
    <w:pPr>
      <w:widowControl/>
      <w:spacing w:after="160" w:line="240" w:lineRule="exact"/>
      <w:jc w:val="left"/>
    </w:pPr>
    <w:rPr>
      <w:rFonts w:eastAsia="Times New Roman" w:cs="Angsana New"/>
      <w:kern w:val="0"/>
      <w:sz w:val="20"/>
      <w:szCs w:val="20"/>
    </w:rPr>
  </w:style>
  <w:style w:type="paragraph" w:customStyle="1" w:styleId="417">
    <w:name w:val="正文文本缩进 32"/>
    <w:basedOn w:val="1"/>
    <w:qFormat/>
    <w:uiPriority w:val="0"/>
    <w:pPr>
      <w:widowControl/>
      <w:adjustRightInd w:val="0"/>
      <w:spacing w:line="440" w:lineRule="exact"/>
      <w:ind w:firstLine="480"/>
      <w:jc w:val="left"/>
      <w:textAlignment w:val="baseline"/>
    </w:pPr>
    <w:rPr>
      <w:rFonts w:ascii="宋体" w:hAnsi="宋体"/>
      <w:kern w:val="0"/>
      <w:sz w:val="24"/>
      <w:szCs w:val="20"/>
    </w:rPr>
  </w:style>
  <w:style w:type="paragraph" w:customStyle="1" w:styleId="418">
    <w:name w:val="日期11"/>
    <w:basedOn w:val="1"/>
    <w:next w:val="1"/>
    <w:qFormat/>
    <w:uiPriority w:val="0"/>
    <w:pPr>
      <w:adjustRightInd w:val="0"/>
      <w:spacing w:line="312" w:lineRule="atLeast"/>
      <w:textAlignment w:val="baseline"/>
    </w:pPr>
    <w:rPr>
      <w:rFonts w:ascii="宋体"/>
      <w:kern w:val="0"/>
      <w:sz w:val="28"/>
      <w:szCs w:val="20"/>
    </w:rPr>
  </w:style>
  <w:style w:type="paragraph" w:customStyle="1" w:styleId="419">
    <w:name w:val="正文文本缩进 211"/>
    <w:basedOn w:val="1"/>
    <w:qFormat/>
    <w:uiPriority w:val="0"/>
    <w:pPr>
      <w:adjustRightInd w:val="0"/>
      <w:ind w:firstLine="435"/>
      <w:jc w:val="left"/>
      <w:textAlignment w:val="baseline"/>
    </w:pPr>
    <w:rPr>
      <w:color w:val="000000"/>
      <w:sz w:val="28"/>
      <w:szCs w:val="20"/>
    </w:rPr>
  </w:style>
  <w:style w:type="paragraph" w:customStyle="1" w:styleId="420">
    <w:name w:val="正文文本 221"/>
    <w:basedOn w:val="1"/>
    <w:qFormat/>
    <w:uiPriority w:val="0"/>
    <w:pPr>
      <w:adjustRightInd w:val="0"/>
      <w:ind w:firstLine="420"/>
      <w:jc w:val="left"/>
      <w:textAlignment w:val="baseline"/>
    </w:pPr>
    <w:rPr>
      <w:rFonts w:ascii="宋体"/>
      <w:color w:val="000000"/>
      <w:sz w:val="24"/>
      <w:szCs w:val="20"/>
    </w:rPr>
  </w:style>
  <w:style w:type="paragraph" w:customStyle="1" w:styleId="421">
    <w:name w:val="Char2 Char Char Char Char Char Char Char Char Char1"/>
    <w:basedOn w:val="1"/>
    <w:qFormat/>
    <w:uiPriority w:val="0"/>
    <w:rPr>
      <w:rFonts w:ascii="Tahoma" w:hAnsi="Tahoma"/>
      <w:sz w:val="24"/>
      <w:szCs w:val="20"/>
    </w:rPr>
  </w:style>
  <w:style w:type="paragraph" w:customStyle="1" w:styleId="422">
    <w:name w:val="Char Char Char1 Char1"/>
    <w:basedOn w:val="1"/>
    <w:qFormat/>
    <w:uiPriority w:val="0"/>
    <w:rPr>
      <w:rFonts w:ascii="Tahoma" w:hAnsi="Tahoma"/>
      <w:sz w:val="24"/>
      <w:szCs w:val="20"/>
    </w:rPr>
  </w:style>
  <w:style w:type="paragraph" w:customStyle="1" w:styleId="423">
    <w:name w:val="样式4"/>
    <w:basedOn w:val="5"/>
    <w:link w:val="434"/>
    <w:qFormat/>
    <w:uiPriority w:val="0"/>
    <w:pPr>
      <w:numPr>
        <w:ilvl w:val="0"/>
        <w:numId w:val="3"/>
      </w:numPr>
      <w:adjustRightInd/>
      <w:spacing w:line="377" w:lineRule="auto"/>
    </w:pPr>
    <w:rPr>
      <w:rFonts w:ascii="Cambria" w:hAnsi="Cambria" w:eastAsia="仿宋_GB2312"/>
      <w:bCs/>
      <w:szCs w:val="28"/>
    </w:rPr>
  </w:style>
  <w:style w:type="character" w:customStyle="1" w:styleId="424">
    <w:name w:val="标题 1 Char1"/>
    <w:qFormat/>
    <w:uiPriority w:val="0"/>
    <w:rPr>
      <w:rFonts w:ascii="Times New Roman" w:hAnsi="Times New Roman" w:eastAsia="黑体" w:cs="Times New Roman"/>
      <w:b/>
      <w:kern w:val="44"/>
      <w:sz w:val="32"/>
      <w:szCs w:val="20"/>
    </w:rPr>
  </w:style>
  <w:style w:type="character" w:customStyle="1" w:styleId="425">
    <w:name w:val="正文文本首行缩进 2 字符"/>
    <w:link w:val="53"/>
    <w:qFormat/>
    <w:uiPriority w:val="0"/>
    <w:rPr>
      <w:kern w:val="2"/>
      <w:sz w:val="21"/>
      <w:szCs w:val="24"/>
    </w:rPr>
  </w:style>
  <w:style w:type="character" w:customStyle="1" w:styleId="426">
    <w:name w:val="GX.正文 Char"/>
    <w:qFormat/>
    <w:uiPriority w:val="0"/>
    <w:rPr>
      <w:rFonts w:ascii="Times New Roman" w:hAnsi="Times New Roman" w:eastAsia="仿宋_GB2312" w:cs="Times New Roman"/>
      <w:sz w:val="24"/>
      <w:szCs w:val="24"/>
    </w:rPr>
  </w:style>
  <w:style w:type="character" w:customStyle="1" w:styleId="427">
    <w:name w:val="样式 招股书正文 + (符号) Arial 加粗 Char"/>
    <w:qFormat/>
    <w:uiPriority w:val="0"/>
    <w:rPr>
      <w:rFonts w:ascii="Arial" w:hAnsi="Arial" w:eastAsia="宋体"/>
      <w:bCs/>
      <w:kern w:val="2"/>
      <w:sz w:val="24"/>
      <w:szCs w:val="24"/>
      <w:lang w:val="en-US" w:eastAsia="zh-CN" w:bidi="ar-SA"/>
    </w:rPr>
  </w:style>
  <w:style w:type="character" w:customStyle="1" w:styleId="428">
    <w:name w:val="Char1 Char"/>
    <w:link w:val="408"/>
    <w:qFormat/>
    <w:uiPriority w:val="0"/>
    <w:rPr>
      <w:rFonts w:ascii="Tahoma" w:hAnsi="Tahoma"/>
      <w:kern w:val="2"/>
      <w:sz w:val="24"/>
    </w:rPr>
  </w:style>
  <w:style w:type="character" w:customStyle="1" w:styleId="429">
    <w:name w:val="Char Char11"/>
    <w:qFormat/>
    <w:uiPriority w:val="0"/>
    <w:rPr>
      <w:rFonts w:ascii="宋体" w:hAnsi="宋体" w:eastAsia="宋体" w:cs="宋体"/>
      <w:color w:val="000080"/>
      <w:sz w:val="24"/>
      <w:szCs w:val="24"/>
      <w:lang w:val="en-US" w:eastAsia="zh-CN" w:bidi="ar-SA"/>
    </w:rPr>
  </w:style>
  <w:style w:type="character" w:customStyle="1" w:styleId="430">
    <w:name w:val="Char Char71"/>
    <w:qFormat/>
    <w:uiPriority w:val="0"/>
    <w:rPr>
      <w:rFonts w:eastAsia="宋体"/>
      <w:kern w:val="2"/>
      <w:sz w:val="21"/>
      <w:lang w:val="en-US" w:eastAsia="zh-CN" w:bidi="ar-SA"/>
    </w:rPr>
  </w:style>
  <w:style w:type="character" w:customStyle="1" w:styleId="431">
    <w:name w:val="Char Char101"/>
    <w:qFormat/>
    <w:uiPriority w:val="0"/>
    <w:rPr>
      <w:rFonts w:ascii="Times New Roman" w:hAnsi="Times New Roman" w:eastAsia="宋体" w:cs="Times New Roman"/>
      <w:kern w:val="2"/>
      <w:sz w:val="21"/>
      <w:szCs w:val="20"/>
      <w:lang w:val="en-US" w:eastAsia="zh-CN" w:bidi="ar-SA"/>
    </w:rPr>
  </w:style>
  <w:style w:type="character" w:customStyle="1" w:styleId="432">
    <w:name w:val="Char Char121"/>
    <w:qFormat/>
    <w:uiPriority w:val="0"/>
    <w:rPr>
      <w:rFonts w:ascii="Arial" w:hAnsi="Arial" w:eastAsia="黑体" w:cs="Times New Roman"/>
      <w:kern w:val="0"/>
      <w:sz w:val="24"/>
      <w:szCs w:val="20"/>
    </w:rPr>
  </w:style>
  <w:style w:type="character" w:customStyle="1" w:styleId="433">
    <w:name w:val="样式3 Char"/>
    <w:link w:val="400"/>
    <w:qFormat/>
    <w:uiPriority w:val="0"/>
    <w:rPr>
      <w:rFonts w:ascii="宋体" w:hAnsi="宋体" w:eastAsia="仿宋_GB2312"/>
      <w:b/>
      <w:bCs/>
      <w:kern w:val="2"/>
      <w:sz w:val="28"/>
      <w:szCs w:val="32"/>
    </w:rPr>
  </w:style>
  <w:style w:type="character" w:customStyle="1" w:styleId="434">
    <w:name w:val="样式4 Char"/>
    <w:link w:val="423"/>
    <w:qFormat/>
    <w:uiPriority w:val="0"/>
    <w:rPr>
      <w:rFonts w:ascii="Cambria" w:hAnsi="Cambria" w:eastAsia="仿宋_GB2312"/>
      <w:b/>
      <w:bCs/>
      <w:kern w:val="2"/>
      <w:sz w:val="28"/>
      <w:szCs w:val="28"/>
    </w:rPr>
  </w:style>
  <w:style w:type="table" w:customStyle="1" w:styleId="435">
    <w:name w:val="附注表格"/>
    <w:basedOn w:val="54"/>
    <w:qFormat/>
    <w:uiPriority w:val="0"/>
    <w:pPr>
      <w:jc w:val="center"/>
    </w:pPr>
    <w:rPr>
      <w:szCs w:val="21"/>
    </w:rPr>
    <w:tblPr>
      <w:tblBorders>
        <w:top w:val="single" w:color="auto" w:sz="4" w:space="0"/>
        <w:bottom w:val="single" w:color="auto" w:sz="4" w:space="0"/>
        <w:insideH w:val="dotted" w:color="auto" w:sz="4" w:space="0"/>
        <w:insideV w:val="dotted" w:color="auto" w:sz="4" w:space="0"/>
      </w:tblBorders>
    </w:tblPr>
    <w:trPr>
      <w:tblHeader/>
    </w:trPr>
  </w:style>
  <w:style w:type="paragraph" w:customStyle="1" w:styleId="436">
    <w:name w:val="列出段落2"/>
    <w:basedOn w:val="1"/>
    <w:qFormat/>
    <w:uiPriority w:val="34"/>
    <w:pPr>
      <w:ind w:left="720"/>
      <w:contextualSpacing/>
    </w:pPr>
  </w:style>
  <w:style w:type="paragraph" w:customStyle="1" w:styleId="437">
    <w:name w:val="附注三级正文"/>
    <w:basedOn w:val="1"/>
    <w:link w:val="442"/>
    <w:qFormat/>
    <w:uiPriority w:val="0"/>
    <w:pPr>
      <w:tabs>
        <w:tab w:val="left" w:pos="630"/>
      </w:tabs>
      <w:adjustRightInd w:val="0"/>
      <w:snapToGrid w:val="0"/>
      <w:spacing w:line="400" w:lineRule="atLeast"/>
      <w:ind w:left="1260" w:leftChars="600"/>
    </w:pPr>
    <w:rPr>
      <w:rFonts w:ascii="宋体" w:hAnsi="宋体"/>
      <w:szCs w:val="21"/>
    </w:rPr>
  </w:style>
  <w:style w:type="paragraph" w:customStyle="1" w:styleId="438">
    <w:name w:val="附注表格标题"/>
    <w:basedOn w:val="1"/>
    <w:link w:val="439"/>
    <w:qFormat/>
    <w:uiPriority w:val="0"/>
    <w:pPr>
      <w:jc w:val="center"/>
    </w:pPr>
    <w:rPr>
      <w:sz w:val="18"/>
      <w:u w:val="single"/>
    </w:rPr>
  </w:style>
  <w:style w:type="character" w:customStyle="1" w:styleId="439">
    <w:name w:val="附注表格标题 Char"/>
    <w:link w:val="438"/>
    <w:qFormat/>
    <w:uiPriority w:val="0"/>
    <w:rPr>
      <w:kern w:val="2"/>
      <w:sz w:val="18"/>
      <w:szCs w:val="24"/>
      <w:u w:val="single"/>
    </w:rPr>
  </w:style>
  <w:style w:type="paragraph" w:customStyle="1" w:styleId="440">
    <w:name w:val="附注表格正文"/>
    <w:basedOn w:val="210"/>
    <w:link w:val="441"/>
    <w:qFormat/>
    <w:uiPriority w:val="0"/>
    <w:pPr>
      <w:adjustRightInd/>
      <w:snapToGrid/>
      <w:spacing w:afterLines="0" w:line="312" w:lineRule="auto"/>
      <w:ind w:firstLine="0" w:firstLineChars="0"/>
      <w:jc w:val="center"/>
    </w:pPr>
    <w:rPr>
      <w:sz w:val="18"/>
      <w:szCs w:val="21"/>
    </w:rPr>
  </w:style>
  <w:style w:type="character" w:customStyle="1" w:styleId="441">
    <w:name w:val="附注表格正文 Char"/>
    <w:link w:val="440"/>
    <w:qFormat/>
    <w:uiPriority w:val="0"/>
    <w:rPr>
      <w:kern w:val="2"/>
      <w:sz w:val="18"/>
      <w:szCs w:val="21"/>
    </w:rPr>
  </w:style>
  <w:style w:type="character" w:customStyle="1" w:styleId="442">
    <w:name w:val="附注三级正文 Char"/>
    <w:link w:val="437"/>
    <w:qFormat/>
    <w:uiPriority w:val="0"/>
    <w:rPr>
      <w:rFonts w:ascii="宋体" w:hAnsi="宋体"/>
      <w:kern w:val="2"/>
      <w:sz w:val="21"/>
      <w:szCs w:val="21"/>
    </w:rPr>
  </w:style>
  <w:style w:type="paragraph" w:customStyle="1" w:styleId="443">
    <w:name w:val="楷体正文"/>
    <w:basedOn w:val="1"/>
    <w:link w:val="444"/>
    <w:qFormat/>
    <w:uiPriority w:val="0"/>
    <w:pPr>
      <w:spacing w:beforeLines="50" w:afterLines="50" w:line="300" w:lineRule="auto"/>
    </w:pPr>
    <w:rPr>
      <w:rFonts w:eastAsia="楷体_GB2312"/>
      <w:sz w:val="24"/>
      <w:szCs w:val="20"/>
    </w:rPr>
  </w:style>
  <w:style w:type="character" w:customStyle="1" w:styleId="444">
    <w:name w:val="楷体正文 Char"/>
    <w:link w:val="443"/>
    <w:qFormat/>
    <w:uiPriority w:val="0"/>
    <w:rPr>
      <w:rFonts w:eastAsia="楷体_GB2312"/>
      <w:kern w:val="2"/>
      <w:sz w:val="24"/>
    </w:rPr>
  </w:style>
  <w:style w:type="character" w:customStyle="1" w:styleId="445">
    <w:name w:val="font31"/>
    <w:basedOn w:val="58"/>
    <w:qFormat/>
    <w:uiPriority w:val="0"/>
    <w:rPr>
      <w:rFonts w:hint="default" w:ascii="Arial" w:hAnsi="Arial" w:cs="Arial"/>
      <w:b/>
      <w:color w:val="000000"/>
      <w:sz w:val="20"/>
      <w:szCs w:val="20"/>
      <w:u w:val="none"/>
    </w:rPr>
  </w:style>
  <w:style w:type="character" w:customStyle="1" w:styleId="446">
    <w:name w:val="font01"/>
    <w:qFormat/>
    <w:uiPriority w:val="0"/>
    <w:rPr>
      <w:rFonts w:hint="eastAsia" w:ascii="宋体" w:hAnsi="宋体" w:eastAsia="宋体" w:cs="宋体"/>
      <w:color w:val="000000"/>
      <w:sz w:val="20"/>
      <w:szCs w:val="20"/>
      <w:u w:val="none"/>
    </w:rPr>
  </w:style>
  <w:style w:type="character" w:customStyle="1" w:styleId="447">
    <w:name w:val="font41"/>
    <w:qFormat/>
    <w:uiPriority w:val="0"/>
    <w:rPr>
      <w:rFonts w:hint="default" w:ascii="Arial" w:hAnsi="Arial" w:cs="Arial"/>
      <w:color w:val="000000"/>
      <w:sz w:val="20"/>
      <w:szCs w:val="20"/>
      <w:u w:val="none"/>
    </w:rPr>
  </w:style>
  <w:style w:type="paragraph" w:customStyle="1" w:styleId="448">
    <w:name w:val="评估正文（马）"/>
    <w:basedOn w:val="1"/>
    <w:qFormat/>
    <w:uiPriority w:val="0"/>
    <w:pPr>
      <w:adjustRightInd w:val="0"/>
      <w:snapToGrid w:val="0"/>
      <w:spacing w:line="360" w:lineRule="auto"/>
      <w:ind w:firstLine="200" w:firstLineChars="200"/>
    </w:pPr>
    <w:rPr>
      <w:rFonts w:eastAsia="仿宋_GB2312"/>
      <w:sz w:val="28"/>
    </w:rPr>
  </w:style>
  <w:style w:type="table" w:customStyle="1" w:styleId="449">
    <w:name w:val="Cpv自定1"/>
    <w:basedOn w:val="54"/>
    <w:qFormat/>
    <w:uiPriority w:val="99"/>
    <w:pPr>
      <w:jc w:val="right"/>
    </w:pPr>
    <w:rPr>
      <w:rFonts w:eastAsia="Times New Roman" w:cstheme="minorBidi"/>
      <w:kern w:val="2"/>
      <w:sz w:val="21"/>
      <w:szCs w:val="21"/>
    </w:rPr>
    <w:tblPr>
      <w:jc w:val="center"/>
      <w:tblBorders>
        <w:top w:val="single" w:color="auto" w:sz="4" w:space="0"/>
        <w:bottom w:val="single" w:color="auto" w:sz="4" w:space="0"/>
        <w:insideH w:val="dotted" w:color="auto" w:sz="4" w:space="0"/>
        <w:insideV w:val="dotted" w:color="auto" w:sz="4" w:space="0"/>
      </w:tblBorders>
    </w:tblPr>
    <w:trPr>
      <w:jc w:val="center"/>
    </w:trPr>
    <w:tcPr>
      <w:vAlign w:val="center"/>
    </w:tcPr>
    <w:tblStylePr w:type="firstRow">
      <w:pPr>
        <w:jc w:val="center"/>
      </w:pPr>
      <w:rPr>
        <w:rFonts w:eastAsia="Times New Roman"/>
        <w:sz w:val="21"/>
      </w:rPr>
      <w:tcPr>
        <w:tcBorders>
          <w:top w:val="single" w:color="auto" w:sz="4" w:space="0"/>
          <w:bottom w:val="dotted" w:color="auto" w:sz="4" w:space="0"/>
        </w:tcBorders>
      </w:tcPr>
    </w:tblStylePr>
    <w:tblStylePr w:type="firstCol">
      <w:pPr>
        <w:jc w:val="both"/>
      </w:pPr>
    </w:tblStylePr>
  </w:style>
  <w:style w:type="character" w:customStyle="1" w:styleId="450">
    <w:name w:val="普通(网站) Char"/>
    <w:qFormat/>
    <w:uiPriority w:val="0"/>
    <w:rPr>
      <w:rFonts w:ascii="宋体" w:hAnsi="宋体"/>
      <w:color w:val="000000"/>
      <w:sz w:val="24"/>
      <w:szCs w:val="24"/>
    </w:rPr>
  </w:style>
  <w:style w:type="paragraph" w:customStyle="1" w:styleId="451">
    <w:name w:val="评估三级（马）"/>
    <w:basedOn w:val="4"/>
    <w:next w:val="448"/>
    <w:qFormat/>
    <w:uiPriority w:val="0"/>
    <w:pPr>
      <w:keepNext w:val="0"/>
      <w:keepLines w:val="0"/>
      <w:numPr>
        <w:ilvl w:val="0"/>
        <w:numId w:val="4"/>
      </w:numPr>
      <w:spacing w:before="0" w:after="0" w:line="240" w:lineRule="auto"/>
      <w:jc w:val="left"/>
    </w:pPr>
    <w:rPr>
      <w:rFonts w:eastAsia="仿宋_GB2312"/>
      <w:kern w:val="0"/>
      <w:sz w:val="28"/>
      <w:szCs w:val="28"/>
    </w:rPr>
  </w:style>
  <w:style w:type="paragraph" w:customStyle="1" w:styleId="452">
    <w:name w:val="评估说明标题（马）"/>
    <w:basedOn w:val="50"/>
    <w:next w:val="451"/>
    <w:qFormat/>
    <w:uiPriority w:val="0"/>
    <w:pPr>
      <w:shd w:val="clear" w:color="auto" w:fill="auto"/>
      <w:spacing w:before="0" w:after="0" w:line="360" w:lineRule="auto"/>
      <w:outlineLvl w:val="1"/>
    </w:pPr>
    <w:rPr>
      <w:rFonts w:ascii="Times New Roman" w:hAnsi="Times New Roman" w:eastAsia="华文仿宋"/>
      <w:sz w:val="28"/>
      <w:shd w:val="clear" w:color="auto" w:fill="auto"/>
    </w:rPr>
  </w:style>
  <w:style w:type="table" w:customStyle="1" w:styleId="453">
    <w:name w:val="网格型2"/>
    <w:basedOn w:val="5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Cpv自定11"/>
    <w:basedOn w:val="54"/>
    <w:qFormat/>
    <w:uiPriority w:val="99"/>
    <w:pPr>
      <w:jc w:val="right"/>
    </w:pPr>
    <w:rPr>
      <w:rFonts w:eastAsia="Times New Roman"/>
      <w:color w:val="000000"/>
      <w:kern w:val="2"/>
      <w:sz w:val="21"/>
      <w:szCs w:val="21"/>
    </w:rPr>
    <w:tblPr>
      <w:jc w:val="center"/>
      <w:tblBorders>
        <w:top w:val="single" w:color="auto" w:sz="4" w:space="0"/>
        <w:bottom w:val="single" w:color="auto" w:sz="4" w:space="0"/>
        <w:insideH w:val="dotted" w:color="auto" w:sz="4" w:space="0"/>
        <w:insideV w:val="dotted" w:color="auto" w:sz="4" w:space="0"/>
      </w:tblBorders>
    </w:tblPr>
    <w:trPr>
      <w:jc w:val="center"/>
    </w:trPr>
    <w:tcPr>
      <w:vAlign w:val="center"/>
    </w:tcPr>
    <w:tblStylePr w:type="firstRow">
      <w:pPr>
        <w:jc w:val="center"/>
      </w:pPr>
      <w:rPr>
        <w:rFonts w:eastAsia="Times New Roman"/>
        <w:sz w:val="21"/>
      </w:rPr>
      <w:tcPr>
        <w:tcBorders>
          <w:top w:val="single" w:color="auto" w:sz="4" w:space="0"/>
          <w:bottom w:val="dotted" w:color="auto" w:sz="4" w:space="0"/>
        </w:tcBorders>
      </w:tcPr>
    </w:tblStylePr>
    <w:tblStylePr w:type="firstCol">
      <w:pPr>
        <w:jc w:val="both"/>
      </w:pPr>
    </w:tblStylePr>
  </w:style>
  <w:style w:type="table" w:customStyle="1" w:styleId="455">
    <w:name w:val="Cpv自定2"/>
    <w:basedOn w:val="54"/>
    <w:qFormat/>
    <w:uiPriority w:val="99"/>
    <w:pPr>
      <w:jc w:val="both"/>
    </w:pPr>
    <w:rPr>
      <w:rFonts w:eastAsia="Times New Roman"/>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eastAsia="Times New Roman"/>
        <w:sz w:val="21"/>
      </w:rPr>
      <w:tcPr>
        <w:tcBorders>
          <w:top w:val="single" w:color="auto" w:sz="4" w:space="0"/>
          <w:bottom w:val="dotted" w:color="auto" w:sz="4" w:space="0"/>
        </w:tcBorders>
      </w:tcPr>
    </w:tblStylePr>
  </w:style>
  <w:style w:type="paragraph" w:customStyle="1" w:styleId="456">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character" w:customStyle="1" w:styleId="457">
    <w:name w:val="apple-converted-space"/>
    <w:basedOn w:val="58"/>
    <w:qFormat/>
    <w:uiPriority w:val="0"/>
  </w:style>
  <w:style w:type="character" w:customStyle="1" w:styleId="458">
    <w:name w:val="font51"/>
    <w:basedOn w:val="58"/>
    <w:qFormat/>
    <w:uiPriority w:val="0"/>
    <w:rPr>
      <w:rFonts w:hint="eastAsia" w:ascii="宋体" w:hAnsi="宋体" w:eastAsia="宋体" w:cs="宋体"/>
      <w:color w:val="000000"/>
      <w:sz w:val="22"/>
      <w:szCs w:val="22"/>
      <w:u w:val="none"/>
    </w:rPr>
  </w:style>
  <w:style w:type="character" w:customStyle="1" w:styleId="459">
    <w:name w:val="font61"/>
    <w:basedOn w:val="58"/>
    <w:qFormat/>
    <w:uiPriority w:val="0"/>
    <w:rPr>
      <w:rFonts w:hint="eastAsia" w:ascii="宋体" w:hAnsi="宋体" w:eastAsia="宋体" w:cs="宋体"/>
      <w:b/>
      <w:color w:val="000000"/>
      <w:sz w:val="22"/>
      <w:szCs w:val="22"/>
      <w:u w:val="none"/>
    </w:rPr>
  </w:style>
  <w:style w:type="character" w:customStyle="1" w:styleId="460">
    <w:name w:val="font91"/>
    <w:basedOn w:val="58"/>
    <w:qFormat/>
    <w:uiPriority w:val="0"/>
    <w:rPr>
      <w:rFonts w:ascii="黑体" w:hAnsi="宋体" w:eastAsia="黑体" w:cs="黑体"/>
      <w:color w:val="000000"/>
      <w:sz w:val="40"/>
      <w:szCs w:val="40"/>
      <w:u w:val="none"/>
    </w:rPr>
  </w:style>
  <w:style w:type="character" w:customStyle="1" w:styleId="461">
    <w:name w:val="font81"/>
    <w:basedOn w:val="5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36AB3F-C110-4676-9631-7081FD885B48}">
  <ds:schemaRefs/>
</ds:datastoreItem>
</file>

<file path=docProps/app.xml><?xml version="1.0" encoding="utf-8"?>
<Properties xmlns="http://schemas.openxmlformats.org/officeDocument/2006/extended-properties" xmlns:vt="http://schemas.openxmlformats.org/officeDocument/2006/docPropsVTypes">
  <Template>Normal.dotm</Template>
  <Company>XYZH CPA</Company>
  <Pages>1</Pages>
  <Words>5716</Words>
  <Characters>32582</Characters>
  <Lines>271</Lines>
  <Paragraphs>76</Paragraphs>
  <TotalTime>2</TotalTime>
  <ScaleCrop>false</ScaleCrop>
  <LinksUpToDate>false</LinksUpToDate>
  <CharactersWithSpaces>38222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2017-06-17T01:10:00Z</dcterms:created>
  <dc:creator>张丽娟</dc:creator>
  <cp:lastModifiedBy>ADMIN</cp:lastModifiedBy>
  <cp:lastPrinted>2020-06-04T08:55:00Z</cp:lastPrinted>
  <dcterms:modified xsi:type="dcterms:W3CDTF">2020-07-24T00:45:40Z</dcterms:modified>
  <dc:title>评估说明参考文本</dc:title>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