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sz w:val="48"/>
        </w:rPr>
      </w:pPr>
    </w:p>
    <w:p>
      <w:pPr>
        <w:jc w:val="center"/>
        <w:rPr>
          <w:rFonts w:hint="default" w:ascii="Times New Roman" w:hAnsi="Times New Roman" w:eastAsia="楷体_GB2312" w:cs="Times New Roman"/>
          <w:b/>
          <w:sz w:val="52"/>
          <w:szCs w:val="52"/>
        </w:rPr>
      </w:pPr>
      <w:r>
        <w:rPr>
          <w:rFonts w:hint="default" w:ascii="Times New Roman" w:hAnsi="Times New Roman" w:eastAsia="楷体_GB2312" w:cs="Times New Roman"/>
          <w:b/>
          <w:sz w:val="52"/>
          <w:szCs w:val="52"/>
        </w:rPr>
        <w:t>土地估价技术报告</w:t>
      </w:r>
    </w:p>
    <w:p>
      <w:pPr>
        <w:rPr>
          <w:rFonts w:hint="default" w:ascii="Times New Roman" w:hAnsi="Times New Roman" w:eastAsia="楷体_GB2312" w:cs="Times New Roman"/>
          <w:sz w:val="32"/>
        </w:rPr>
      </w:pPr>
    </w:p>
    <w:p>
      <w:pPr>
        <w:rPr>
          <w:rFonts w:hint="default" w:ascii="Times New Roman" w:hAnsi="Times New Roman" w:eastAsia="楷体_GB2312" w:cs="Times New Roman"/>
          <w:sz w:val="32"/>
        </w:rPr>
      </w:pPr>
    </w:p>
    <w:p>
      <w:pPr>
        <w:spacing w:line="480" w:lineRule="exact"/>
        <w:ind w:left="1600" w:hanging="1600" w:hangingChars="500"/>
        <w:jc w:val="lef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项目名称：江苏省沿海农业发展有限公司委托评估位于东台市东台河闸南首（淡水养殖、林地）部分国有划拨农用地使用权市场租金价格评估(江苏省东台市)</w:t>
      </w:r>
    </w:p>
    <w:p>
      <w:pPr>
        <w:spacing w:line="520" w:lineRule="exact"/>
        <w:ind w:left="1820" w:hanging="1820" w:hangingChars="650"/>
        <w:rPr>
          <w:rFonts w:hint="default" w:ascii="Times New Roman" w:hAnsi="Times New Roman" w:eastAsia="楷体_GB2312" w:cs="Times New Roman"/>
          <w:bCs/>
          <w:sz w:val="28"/>
          <w:szCs w:val="28"/>
        </w:rPr>
      </w:pPr>
    </w:p>
    <w:p>
      <w:pPr>
        <w:spacing w:before="240" w:beforeLines="100" w:after="240" w:afterLines="100" w:line="520" w:lineRule="exact"/>
        <w:ind w:left="2080" w:hanging="2080" w:hangingChars="650"/>
        <w:rPr>
          <w:rFonts w:hint="default" w:ascii="Times New Roman" w:hAnsi="Times New Roman" w:eastAsia="楷体_GB2312" w:cs="Times New Roman"/>
          <w:bCs/>
          <w:spacing w:val="-20"/>
          <w:sz w:val="32"/>
          <w:szCs w:val="32"/>
        </w:rPr>
      </w:pPr>
      <w:r>
        <w:rPr>
          <w:rFonts w:hint="default" w:ascii="Times New Roman" w:hAnsi="Times New Roman" w:eastAsia="楷体_GB2312" w:cs="Times New Roman"/>
          <w:bCs/>
          <w:sz w:val="32"/>
          <w:szCs w:val="32"/>
        </w:rPr>
        <w:t>受托估价单位：</w:t>
      </w:r>
      <w:r>
        <w:rPr>
          <w:rFonts w:hint="default" w:ascii="Times New Roman" w:hAnsi="Times New Roman" w:eastAsia="楷体_GB2312" w:cs="Times New Roman"/>
          <w:bCs/>
          <w:spacing w:val="-20"/>
          <w:sz w:val="32"/>
          <w:szCs w:val="32"/>
        </w:rPr>
        <w:t>江苏拓普森房地产资产评估规划测绘有限公司</w:t>
      </w:r>
    </w:p>
    <w:p>
      <w:pPr>
        <w:spacing w:before="240" w:beforeLines="100" w:after="240" w:afterLines="100" w:line="520" w:lineRule="exact"/>
        <w:ind w:left="1820" w:hanging="1820" w:hangingChars="650"/>
        <w:rPr>
          <w:rFonts w:hint="default" w:ascii="Times New Roman" w:hAnsi="Times New Roman" w:eastAsia="楷体_GB2312" w:cs="Times New Roman"/>
          <w:bCs/>
          <w:sz w:val="28"/>
          <w:szCs w:val="28"/>
        </w:rPr>
      </w:pPr>
    </w:p>
    <w:p>
      <w:pPr>
        <w:spacing w:before="240" w:beforeLines="100" w:after="240" w:afterLines="100" w:line="520" w:lineRule="exact"/>
        <w:ind w:left="2080" w:hanging="2080" w:hangingChars="65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土地估价报告编号：</w:t>
      </w:r>
      <w:r>
        <w:rPr>
          <w:rFonts w:hint="default" w:ascii="Times New Roman" w:hAnsi="Times New Roman" w:eastAsia="楷体_GB2312" w:cs="Times New Roman"/>
          <w:bCs/>
          <w:spacing w:val="-20"/>
          <w:sz w:val="32"/>
          <w:szCs w:val="32"/>
        </w:rPr>
        <w:t>（苏）拓普森（2024）（估）字第NJ009号</w:t>
      </w:r>
    </w:p>
    <w:p>
      <w:pPr>
        <w:spacing w:before="240" w:beforeLines="100" w:after="240" w:afterLines="100" w:line="520" w:lineRule="exact"/>
        <w:ind w:left="2080" w:hanging="2080" w:hangingChars="650"/>
        <w:rPr>
          <w:rFonts w:hint="default" w:ascii="Times New Roman" w:hAnsi="Times New Roman" w:eastAsia="楷体_GB2312" w:cs="Times New Roman"/>
          <w:bCs/>
          <w:sz w:val="32"/>
          <w:szCs w:val="32"/>
        </w:rPr>
      </w:pPr>
    </w:p>
    <w:p>
      <w:pPr>
        <w:spacing w:before="240" w:beforeLines="100" w:after="240" w:afterLines="100" w:line="520" w:lineRule="exact"/>
        <w:ind w:left="2080" w:hanging="2080" w:hangingChars="650"/>
        <w:rPr>
          <w:rFonts w:hint="default" w:ascii="Times New Roman" w:hAnsi="Times New Roman" w:eastAsia="楷体_GB2312" w:cs="Times New Roman"/>
          <w:bCs/>
          <w:spacing w:val="-20"/>
          <w:sz w:val="32"/>
          <w:szCs w:val="32"/>
        </w:rPr>
      </w:pPr>
      <w:r>
        <w:rPr>
          <w:rFonts w:hint="default" w:ascii="Times New Roman" w:hAnsi="Times New Roman" w:eastAsia="楷体_GB2312" w:cs="Times New Roman"/>
          <w:bCs/>
          <w:sz w:val="32"/>
          <w:szCs w:val="32"/>
        </w:rPr>
        <w:t>土地估价技术报告编号:</w:t>
      </w:r>
      <w:r>
        <w:rPr>
          <w:rFonts w:hint="default" w:ascii="Times New Roman" w:hAnsi="Times New Roman" w:eastAsia="楷体_GB2312" w:cs="Times New Roman"/>
          <w:bCs/>
          <w:spacing w:val="-20"/>
          <w:sz w:val="32"/>
          <w:szCs w:val="32"/>
        </w:rPr>
        <w:t>（苏）拓普森（2024）（技）字第NJ009号</w:t>
      </w:r>
    </w:p>
    <w:p>
      <w:pPr>
        <w:spacing w:before="240" w:beforeLines="100" w:after="240" w:afterLines="100" w:line="520" w:lineRule="exact"/>
        <w:ind w:left="2080" w:hanging="2080" w:hangingChars="650"/>
        <w:rPr>
          <w:rFonts w:hint="default" w:ascii="Times New Roman" w:hAnsi="Times New Roman" w:eastAsia="楷体_GB2312" w:cs="Times New Roman"/>
          <w:bCs/>
          <w:sz w:val="32"/>
          <w:szCs w:val="32"/>
        </w:rPr>
      </w:pPr>
    </w:p>
    <w:p>
      <w:pPr>
        <w:spacing w:before="240" w:beforeLines="100" w:after="240" w:afterLines="100" w:line="520" w:lineRule="exact"/>
        <w:ind w:left="1820" w:hanging="1820" w:hangingChars="650"/>
        <w:rPr>
          <w:rFonts w:hint="default" w:ascii="Times New Roman" w:hAnsi="Times New Roman" w:eastAsia="楷体_GB2312" w:cs="Times New Roman"/>
          <w:bCs/>
          <w:sz w:val="32"/>
          <w:szCs w:val="32"/>
        </w:rPr>
      </w:pPr>
      <w:r>
        <w:rPr>
          <w:rFonts w:hint="default" w:ascii="Times New Roman" w:hAnsi="Times New Roman" w:eastAsia="楷体_GB2312" w:cs="Times New Roman"/>
          <w:bCs/>
          <w:spacing w:val="-20"/>
          <w:sz w:val="32"/>
          <w:szCs w:val="32"/>
        </w:rPr>
        <w:t>提交估价日期：二○二四年一月五日</w:t>
      </w:r>
    </w:p>
    <w:p>
      <w:pPr>
        <w:spacing w:before="240" w:beforeLines="100" w:after="240" w:afterLines="100" w:line="520" w:lineRule="exact"/>
        <w:ind w:left="2080" w:hanging="2080" w:hangingChars="650"/>
        <w:rPr>
          <w:rFonts w:hint="default" w:ascii="Times New Roman" w:hAnsi="Times New Roman" w:eastAsia="楷体_GB2312" w:cs="Times New Roman"/>
          <w:bCs/>
          <w:sz w:val="32"/>
          <w:szCs w:val="32"/>
        </w:rPr>
      </w:pPr>
    </w:p>
    <w:p>
      <w:pPr>
        <w:spacing w:line="52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关键词：江苏省东台市</w:t>
      </w:r>
    </w:p>
    <w:p>
      <w:pPr>
        <w:spacing w:line="520" w:lineRule="exact"/>
        <w:ind w:firstLine="1280" w:firstLineChars="4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农用地（淡水养殖、林地）</w:t>
      </w:r>
    </w:p>
    <w:p>
      <w:pPr>
        <w:spacing w:line="520" w:lineRule="exact"/>
        <w:ind w:firstLine="1280" w:firstLineChars="4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2024年发包底价</w:t>
      </w:r>
    </w:p>
    <w:p>
      <w:pPr>
        <w:spacing w:line="520" w:lineRule="exact"/>
        <w:ind w:firstLine="1120" w:firstLineChars="400"/>
        <w:rPr>
          <w:rFonts w:hint="default" w:ascii="Times New Roman" w:hAnsi="Times New Roman" w:eastAsia="楷体_GB2312" w:cs="Times New Roman"/>
          <w:bCs/>
          <w:sz w:val="30"/>
          <w:szCs w:val="30"/>
        </w:rPr>
      </w:pPr>
      <w:r>
        <w:rPr>
          <w:rFonts w:hint="default" w:ascii="Times New Roman" w:hAnsi="Times New Roman" w:eastAsia="楷体_GB2312" w:cs="Times New Roman"/>
          <w:bCs/>
          <w:spacing w:val="-20"/>
          <w:sz w:val="32"/>
          <w:szCs w:val="32"/>
        </w:rPr>
        <w:t>江苏拓普森房地产资产评估规划测绘有限公司</w:t>
      </w:r>
    </w:p>
    <w:p>
      <w:pPr>
        <w:adjustRightInd w:val="0"/>
        <w:snapToGrid w:val="0"/>
        <w:spacing w:before="240" w:beforeLines="100" w:after="120" w:afterLines="50" w:line="600" w:lineRule="exact"/>
        <w:ind w:left="1978" w:hanging="2233" w:hangingChars="618"/>
        <w:jc w:val="center"/>
        <w:rPr>
          <w:rFonts w:hint="default" w:ascii="Times New Roman" w:hAnsi="Times New Roman" w:eastAsia="仿宋_GB2312" w:cs="Times New Roman"/>
          <w:b/>
          <w:sz w:val="36"/>
          <w:szCs w:val="36"/>
        </w:rPr>
        <w:sectPr>
          <w:headerReference r:id="rId3" w:type="default"/>
          <w:footerReference r:id="rId4" w:type="default"/>
          <w:footerReference r:id="rId5" w:type="even"/>
          <w:pgSz w:w="11906" w:h="16838"/>
          <w:pgMar w:top="1440" w:right="1196" w:bottom="1440" w:left="1470" w:header="851" w:footer="992" w:gutter="0"/>
          <w:pgNumType w:start="0"/>
          <w:cols w:space="720" w:num="1"/>
          <w:titlePg/>
          <w:docGrid w:linePitch="312" w:charSpace="0"/>
        </w:sectPr>
      </w:pPr>
    </w:p>
    <w:p>
      <w:pPr>
        <w:adjustRightInd w:val="0"/>
        <w:snapToGrid w:val="0"/>
        <w:spacing w:before="240" w:beforeLines="100" w:after="120" w:afterLines="50" w:line="600" w:lineRule="exact"/>
        <w:ind w:left="1978" w:hanging="2233" w:hangingChars="618"/>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土地估价技术报告</w:t>
      </w:r>
    </w:p>
    <w:p>
      <w:pPr>
        <w:numPr>
          <w:ilvl w:val="0"/>
          <w:numId w:val="2"/>
        </w:numPr>
        <w:adjustRightInd w:val="0"/>
        <w:snapToGrid w:val="0"/>
        <w:spacing w:before="120" w:beforeLines="50" w:after="120" w:afterLines="50" w:line="600" w:lineRule="exact"/>
        <w:ind w:left="2233" w:hanging="2233" w:hangingChars="618"/>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 xml:space="preserve"> 总述</w:t>
      </w:r>
    </w:p>
    <w:p>
      <w:pPr>
        <w:keepNext w:val="0"/>
        <w:keepLines w:val="0"/>
        <w:pageBreakBefore w:val="0"/>
        <w:kinsoku/>
        <w:wordWrap/>
        <w:overflowPunct/>
        <w:topLinePunct w:val="0"/>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一、估价项目名称</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江苏省沿海农业发展有限公司委托评估</w:t>
      </w:r>
      <w:bookmarkStart w:id="0" w:name="_Hlk59388936"/>
      <w:r>
        <w:rPr>
          <w:rFonts w:hint="default" w:ascii="Times New Roman" w:hAnsi="Times New Roman" w:eastAsia="仿宋_GB2312" w:cs="Times New Roman"/>
          <w:sz w:val="28"/>
        </w:rPr>
        <w:t>位于东台市东台河闸南首（淡水养殖、林地）部分国有划拨农用地使用权市场租金价格</w:t>
      </w:r>
      <w:bookmarkEnd w:id="0"/>
      <w:r>
        <w:rPr>
          <w:rFonts w:hint="default" w:ascii="Times New Roman" w:hAnsi="Times New Roman" w:eastAsia="仿宋_GB2312" w:cs="Times New Roman"/>
          <w:sz w:val="28"/>
        </w:rPr>
        <w:t>评估(江苏省东台市)</w:t>
      </w:r>
    </w:p>
    <w:p>
      <w:pPr>
        <w:keepNext w:val="0"/>
        <w:keepLines w:val="0"/>
        <w:pageBreakBefore w:val="0"/>
        <w:kinsoku/>
        <w:wordWrap/>
        <w:overflowPunct/>
        <w:topLinePunct w:val="0"/>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二、委托估价方</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名    称：江苏省沿海农业发展有限公司</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类    型：有限责任公司</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住    所：建邺区奥体大街69号南京新城科技园国际研发总部园4B栋</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法定代表人：尤开军</w:t>
      </w:r>
    </w:p>
    <w:p>
      <w:pPr>
        <w:keepNext w:val="0"/>
        <w:keepLines w:val="0"/>
        <w:pageBreakBefore w:val="0"/>
        <w:kinsoku/>
        <w:wordWrap/>
        <w:overflowPunct/>
        <w:topLinePunct w:val="0"/>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三、受托估价方</w:t>
      </w:r>
    </w:p>
    <w:p>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机构名称：江苏拓普森房地产资产评估规划测绘有限公司</w:t>
      </w:r>
    </w:p>
    <w:p>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备案编号：2020320142</w:t>
      </w:r>
    </w:p>
    <w:p>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法定代表人（执业事务合伙人）：吴秋根</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联系人：周浩</w:t>
      </w:r>
    </w:p>
    <w:p>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联系电话：15861819978</w:t>
      </w:r>
    </w:p>
    <w:p>
      <w:pPr>
        <w:pStyle w:val="11"/>
        <w:keepNext w:val="0"/>
        <w:keepLines w:val="0"/>
        <w:pageBreakBefore w:val="0"/>
        <w:kinsoku/>
        <w:wordWrap/>
        <w:overflowPunct/>
        <w:topLinePunct w:val="0"/>
        <w:bidi w:val="0"/>
        <w:spacing w:line="500" w:lineRule="exact"/>
        <w:ind w:firstLine="560"/>
        <w:textAlignment w:val="auto"/>
        <w:rPr>
          <w:rFonts w:hint="default" w:ascii="Times New Roman" w:hAnsi="Times New Roman" w:eastAsia="仿宋_GB2312" w:cs="Times New Roman"/>
          <w:kern w:val="2"/>
          <w:sz w:val="28"/>
          <w:szCs w:val="24"/>
        </w:rPr>
      </w:pPr>
      <w:r>
        <w:rPr>
          <w:rFonts w:hint="default" w:ascii="Times New Roman" w:hAnsi="Times New Roman" w:eastAsia="仿宋_GB2312" w:cs="Times New Roman"/>
          <w:sz w:val="28"/>
        </w:rPr>
        <w:t>邮政编码：210000</w:t>
      </w:r>
    </w:p>
    <w:p>
      <w:pPr>
        <w:keepNext w:val="0"/>
        <w:keepLines w:val="0"/>
        <w:pageBreakBefore w:val="0"/>
        <w:kinsoku/>
        <w:wordWrap/>
        <w:overflowPunct/>
        <w:topLinePunct w:val="0"/>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四、估价目的</w:t>
      </w:r>
    </w:p>
    <w:p>
      <w:pPr>
        <w:keepNext w:val="0"/>
        <w:keepLines w:val="0"/>
        <w:pageBreakBefore w:val="0"/>
        <w:kinsoku/>
        <w:wordWrap/>
        <w:overflowPunct/>
        <w:topLinePunct w:val="0"/>
        <w:bidi w:val="0"/>
        <w:adjustRightInd w:val="0"/>
        <w:snapToGrid w:val="0"/>
        <w:spacing w:line="500" w:lineRule="exact"/>
        <w:ind w:firstLine="560" w:firstLineChars="200"/>
        <w:textAlignment w:val="auto"/>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江苏省沿海农业发展有限公司为了解</w:t>
      </w:r>
      <w:r>
        <w:rPr>
          <w:rFonts w:hint="default" w:ascii="Times New Roman" w:hAnsi="Times New Roman" w:eastAsia="仿宋_GB2312" w:cs="Times New Roman"/>
          <w:sz w:val="28"/>
        </w:rPr>
        <w:t>位于东台市东台河闸南首（淡水养殖、林地）部分国有划拨农用地使用权市场租金价格，特委托江苏拓普森房地产资产评估规划测绘有限公司</w:t>
      </w:r>
      <w:r>
        <w:rPr>
          <w:rFonts w:hint="default" w:ascii="Times New Roman" w:hAnsi="Times New Roman" w:eastAsia="仿宋_GB2312" w:cs="Times New Roman"/>
          <w:sz w:val="28"/>
          <w:szCs w:val="28"/>
          <w:lang w:val="zh-CN"/>
        </w:rPr>
        <w:t>对该两块国有划拨农用地使用权市场租金价格进行评估，为其2024年度发包提供价格参考依据。</w:t>
      </w:r>
    </w:p>
    <w:p>
      <w:pPr>
        <w:keepNext w:val="0"/>
        <w:keepLines w:val="0"/>
        <w:pageBreakBefore w:val="0"/>
        <w:kinsoku/>
        <w:wordWrap/>
        <w:overflowPunct/>
        <w:topLinePunct w:val="0"/>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五、估价依据</w:t>
      </w:r>
    </w:p>
    <w:p>
      <w:pPr>
        <w:pStyle w:val="11"/>
        <w:keepNext w:val="0"/>
        <w:keepLines w:val="0"/>
        <w:pageBreakBefore w:val="0"/>
        <w:kinsoku/>
        <w:wordWrap/>
        <w:overflowPunct/>
        <w:topLinePunct w:val="0"/>
        <w:bidi w:val="0"/>
        <w:adjustRightInd/>
        <w:spacing w:line="500" w:lineRule="exact"/>
        <w:ind w:firstLine="562" w:firstLineChars="200"/>
        <w:contextualSpacing/>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b/>
          <w:color w:val="000000"/>
          <w:kern w:val="2"/>
          <w:sz w:val="28"/>
        </w:rPr>
        <w:t>1、国家及有关部门颁布的法律法规及相关文件</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1.1《中华人民共和国土地管理法》（</w:t>
      </w:r>
      <w:r>
        <w:rPr>
          <w:rFonts w:hint="default" w:ascii="Times New Roman" w:hAnsi="Times New Roman" w:eastAsia="仿宋_GB2312" w:cs="Times New Roman"/>
          <w:color w:val="000000"/>
          <w:sz w:val="28"/>
          <w:szCs w:val="28"/>
        </w:rPr>
        <w:t>根据2019年8月26日第十三届全国人民代表大会常务委员会第十二次会议《关于修改〈中华人民共和国土地管理法〉</w:t>
      </w:r>
      <w:r>
        <w:rPr>
          <w:rFonts w:hint="default" w:ascii="Times New Roman" w:hAnsi="Times New Roman" w:eastAsia="仿宋_GB2312" w:cs="Times New Roman"/>
          <w:sz w:val="28"/>
          <w:szCs w:val="30"/>
        </w:rPr>
        <w:t>；</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1.2《中华人民共和国城乡规划法》（根据2019年4月23日第十三届全国人民代表大会常务委员会第十次会议《关于修改＜中华人民共和国建筑法＞等八部法律的决定》第二次修正）；</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sz w:val="28"/>
        </w:rPr>
        <w:t>1.3《中华人民共和国民法典》（2020年5月28日第十三届全国人民代表大会第三次会议通过，自2021年1月1日起施行）；</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szCs w:val="30"/>
        </w:rPr>
        <w:t>1.4</w:t>
      </w:r>
      <w:r>
        <w:rPr>
          <w:rFonts w:hint="default" w:ascii="Times New Roman" w:hAnsi="Times New Roman" w:eastAsia="仿宋_GB2312" w:cs="Times New Roman"/>
          <w:sz w:val="28"/>
        </w:rPr>
        <w:t>《中华人民共和国资产评估法》（中华人民共和国主席令第46号，由中华人民共和国第十二届全国人民代表大会常务委员会第二十一次会议于2016年7月2日通过，2016年12月1日起施行）；</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1.5《中华人民共和国海域使用管理法》</w:t>
      </w:r>
      <w:r>
        <w:rPr>
          <w:rFonts w:hint="default" w:ascii="Times New Roman" w:hAnsi="Times New Roman" w:eastAsia="仿宋_GB2312" w:cs="Times New Roman"/>
          <w:sz w:val="28"/>
          <w:szCs w:val="30"/>
        </w:rPr>
        <w:t>（中华人民共和国第九届全国人民代表大会常务委员会第二十四次会议于2001年10月27日通过，自2002年1月1日起施行）；</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1.6《中华人民共和国土地管理法实施条例》（1998年12月24日国务院令第256号，1999年1月1日施行，2021年7月2日中华人民共和国国务院令第743号第三次修订）</w:t>
      </w:r>
    </w:p>
    <w:p>
      <w:pPr>
        <w:keepNext w:val="0"/>
        <w:keepLines w:val="0"/>
        <w:pageBreakBefore w:val="0"/>
        <w:kinsoku/>
        <w:wordWrap/>
        <w:overflowPunct/>
        <w:topLinePunct w:val="0"/>
        <w:autoSpaceDE w:val="0"/>
        <w:autoSpaceDN w:val="0"/>
        <w:bidi w:val="0"/>
        <w:spacing w:line="500" w:lineRule="exact"/>
        <w:ind w:firstLine="560" w:firstLineChars="200"/>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1.7国土资源部</w:t>
      </w:r>
      <w:r>
        <w:rPr>
          <w:rFonts w:hint="default" w:ascii="Times New Roman" w:hAnsi="Times New Roman" w:eastAsia="仿宋_GB2312" w:cs="Times New Roman"/>
          <w:sz w:val="28"/>
          <w:szCs w:val="30"/>
        </w:rPr>
        <w:t>《关于改革款式估价结果确认和土地资产处置审批办法的通知》（2001年2月13日国土资发（2001）44号）；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1.8《国有资产评估管理办法》（1991年11月16日，中华人民共和国国务院令91号；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1.9国土资源部《关于印发试行〈土地分类〉的通知》（2001年8月21日国土资发[2001]255号）；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1.10《国务院关于加强国有土地资产管理的通知》（2001年4月30日，国发[2001]15号）；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1.11《国务院关于深化改革严格土地管理的决定》（国发［2004］28号）；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1.12《国务院关于加强土地调控有关问题的通知》（国发〔2006〕31号）；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1.13《国务院关于促进节约集约用地的通知》(国发[2008]3号)；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1.14《国有资产评估管理若干问题的规定》（2001年12月31日，中华人民共和国财政令第14号）；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1.15《企业国有资产评估管理暂行办法》（国务院令第91号）；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szCs w:val="30"/>
        </w:rPr>
      </w:pPr>
      <w:r>
        <w:rPr>
          <w:rFonts w:hint="default" w:ascii="Times New Roman" w:hAnsi="Times New Roman" w:eastAsia="仿宋_GB2312" w:cs="Times New Roman"/>
          <w:sz w:val="28"/>
        </w:rPr>
        <w:t>1.16</w:t>
      </w:r>
      <w:r>
        <w:rPr>
          <w:rFonts w:hint="default" w:ascii="Times New Roman" w:hAnsi="Times New Roman" w:eastAsia="仿宋_GB2312" w:cs="Times New Roman"/>
          <w:sz w:val="28"/>
          <w:szCs w:val="21"/>
        </w:rPr>
        <w:t>《国有资产评估管理办法施行细则</w:t>
      </w:r>
      <w:r>
        <w:rPr>
          <w:rFonts w:hint="default" w:ascii="Times New Roman" w:hAnsi="Times New Roman" w:eastAsia="仿宋_GB2312" w:cs="Times New Roman"/>
          <w:sz w:val="28"/>
        </w:rPr>
        <w:t>》（根据国务院发布的</w:t>
      </w:r>
      <w:r>
        <w:rPr>
          <w:rFonts w:hint="default" w:ascii="Times New Roman" w:hAnsi="Times New Roman" w:eastAsia="仿宋_GB2312" w:cs="Times New Roman"/>
          <w:sz w:val="28"/>
          <w:szCs w:val="21"/>
        </w:rPr>
        <w:t>《国有资产评估管理办法》，第三十八条的规定，制定本施行细则）。</w:t>
      </w:r>
    </w:p>
    <w:p>
      <w:pPr>
        <w:pStyle w:val="11"/>
        <w:keepNext w:val="0"/>
        <w:keepLines w:val="0"/>
        <w:pageBreakBefore w:val="0"/>
        <w:kinsoku/>
        <w:wordWrap/>
        <w:overflowPunct/>
        <w:topLinePunct w:val="0"/>
        <w:bidi w:val="0"/>
        <w:adjustRightInd/>
        <w:spacing w:line="500" w:lineRule="exact"/>
        <w:ind w:firstLine="562" w:firstLineChars="200"/>
        <w:contextualSpacing/>
        <w:textAlignment w:val="auto"/>
        <w:rPr>
          <w:rFonts w:hint="default" w:ascii="Times New Roman" w:hAnsi="Times New Roman" w:eastAsia="仿宋_GB2312" w:cs="Times New Roman"/>
          <w:b/>
          <w:color w:val="000000"/>
          <w:kern w:val="2"/>
          <w:sz w:val="28"/>
        </w:rPr>
      </w:pPr>
      <w:r>
        <w:rPr>
          <w:rFonts w:hint="default" w:ascii="Times New Roman" w:hAnsi="Times New Roman" w:eastAsia="仿宋_GB2312" w:cs="Times New Roman"/>
          <w:b/>
          <w:color w:val="000000"/>
          <w:kern w:val="2"/>
          <w:sz w:val="28"/>
        </w:rPr>
        <w:t>2、地方有关部门颁布的法规及相关文件</w:t>
      </w:r>
    </w:p>
    <w:p>
      <w:pPr>
        <w:pStyle w:val="11"/>
        <w:keepNext w:val="0"/>
        <w:keepLines w:val="0"/>
        <w:pageBreakBefore w:val="0"/>
        <w:kinsoku/>
        <w:wordWrap/>
        <w:overflowPunct/>
        <w:topLinePunct w:val="0"/>
        <w:bidi w:val="0"/>
        <w:spacing w:line="500" w:lineRule="exact"/>
        <w:ind w:firstLine="560" w:firstLineChars="200"/>
        <w:contextualSpacing/>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江苏省土地管理条例》（2004年4月16日江苏省第十届人民代表大会常务委员会第九次会议《关于修改〈江苏省土地管理条例〉的决定》第二次修正，自2004年5月1日起施行，2021年1月15日江苏省第十三届人民代表大会常务委员会第二十次会议修订）；</w:t>
      </w:r>
    </w:p>
    <w:p>
      <w:pPr>
        <w:pStyle w:val="11"/>
        <w:keepNext w:val="0"/>
        <w:keepLines w:val="0"/>
        <w:pageBreakBefore w:val="0"/>
        <w:kinsoku/>
        <w:wordWrap/>
        <w:overflowPunct/>
        <w:topLinePunct w:val="0"/>
        <w:bidi w:val="0"/>
        <w:spacing w:line="500" w:lineRule="exact"/>
        <w:ind w:firstLine="560" w:firstLineChars="200"/>
        <w:contextualSpacing/>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r>
        <w:rPr>
          <w:rFonts w:hint="default" w:ascii="Times New Roman" w:hAnsi="Times New Roman" w:eastAsia="仿宋_GB2312" w:cs="Times New Roman"/>
          <w:sz w:val="28"/>
        </w:rPr>
        <w:t>江苏省国土资源厅《转发国土资源部</w:t>
      </w:r>
      <w:r>
        <w:rPr>
          <w:rFonts w:hint="default" w:ascii="Times New Roman" w:hAnsi="Times New Roman" w:eastAsia="仿宋_GB2312" w:cs="Times New Roman"/>
          <w:sz w:val="28"/>
          <w:szCs w:val="28"/>
        </w:rPr>
        <w:t>〈关于改革土地估价结果确认和土地资产处置审批办法的通知〉的通知</w:t>
      </w:r>
      <w:r>
        <w:rPr>
          <w:rFonts w:hint="default" w:ascii="Times New Roman" w:hAnsi="Times New Roman" w:eastAsia="仿宋_GB2312" w:cs="Times New Roman"/>
          <w:sz w:val="28"/>
        </w:rPr>
        <w:t>》（2001年7月24日苏国土资发（2001）63号）；</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2.3江苏省人民政府和江苏自然资源厅、原江苏省国土资源厅、原江苏省国土管理局颁发的有关文件。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2.4盐城市人民政府和盐城市自然资源和规划局颁发的有关文件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2.5东台市人民政府和东台市自然资源和规划局颁发的有关文件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2.6《省沿海开发集团有限公司国有资产评估管理办法》（苏海开发〔2019〕176号）</w:t>
      </w:r>
    </w:p>
    <w:p>
      <w:pPr>
        <w:pStyle w:val="11"/>
        <w:keepNext w:val="0"/>
        <w:keepLines w:val="0"/>
        <w:pageBreakBefore w:val="0"/>
        <w:kinsoku/>
        <w:wordWrap/>
        <w:overflowPunct/>
        <w:topLinePunct w:val="0"/>
        <w:bidi w:val="0"/>
        <w:adjustRightInd/>
        <w:spacing w:line="500" w:lineRule="exact"/>
        <w:ind w:firstLine="562" w:firstLineChars="200"/>
        <w:contextualSpacing/>
        <w:textAlignment w:val="auto"/>
        <w:rPr>
          <w:rFonts w:hint="default" w:ascii="Times New Roman" w:hAnsi="Times New Roman" w:eastAsia="仿宋_GB2312" w:cs="Times New Roman"/>
          <w:b/>
          <w:color w:val="000000"/>
          <w:kern w:val="2"/>
          <w:sz w:val="28"/>
        </w:rPr>
      </w:pPr>
      <w:r>
        <w:rPr>
          <w:rFonts w:hint="default" w:ascii="Times New Roman" w:hAnsi="Times New Roman" w:eastAsia="仿宋_GB2312" w:cs="Times New Roman"/>
          <w:b/>
          <w:color w:val="000000"/>
          <w:kern w:val="2"/>
          <w:sz w:val="28"/>
        </w:rPr>
        <w:t>3、有关技术标准</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3.1</w:t>
      </w:r>
      <w:r>
        <w:rPr>
          <w:rFonts w:hint="default" w:ascii="Times New Roman" w:hAnsi="Times New Roman" w:eastAsia="仿宋_GB2312" w:cs="Times New Roman"/>
          <w:sz w:val="28"/>
          <w:szCs w:val="28"/>
        </w:rPr>
        <w:t>中华人民共和国国家质量监督检验检疫总局发布的国家标准</w:t>
      </w:r>
      <w:r>
        <w:rPr>
          <w:rFonts w:hint="default" w:ascii="Times New Roman" w:hAnsi="Times New Roman" w:eastAsia="仿宋_GB2312" w:cs="Times New Roman"/>
          <w:sz w:val="28"/>
        </w:rPr>
        <w:t>《农用地质量分等规程》（GB/T 28407-2012）；</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3.2</w:t>
      </w:r>
      <w:r>
        <w:rPr>
          <w:rFonts w:hint="default" w:ascii="Times New Roman" w:hAnsi="Times New Roman" w:eastAsia="仿宋_GB2312" w:cs="Times New Roman"/>
          <w:sz w:val="28"/>
          <w:szCs w:val="28"/>
        </w:rPr>
        <w:t>中华人民共和国国家质量监督检验检疫总局发布的国家标准</w:t>
      </w:r>
      <w:r>
        <w:rPr>
          <w:rFonts w:hint="default" w:ascii="Times New Roman" w:hAnsi="Times New Roman" w:eastAsia="仿宋_GB2312" w:cs="Times New Roman"/>
          <w:sz w:val="28"/>
        </w:rPr>
        <w:t>《农用地定级规程》（GB/T 28405-2012）；</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3.3</w:t>
      </w:r>
      <w:r>
        <w:rPr>
          <w:rFonts w:hint="default" w:ascii="Times New Roman" w:hAnsi="Times New Roman" w:eastAsia="仿宋_GB2312" w:cs="Times New Roman"/>
          <w:sz w:val="28"/>
          <w:szCs w:val="28"/>
        </w:rPr>
        <w:t>中华人民共和国国家质量监督检验检疫总局发布的国家标准</w:t>
      </w:r>
      <w:r>
        <w:rPr>
          <w:rFonts w:hint="default" w:ascii="Times New Roman" w:hAnsi="Times New Roman" w:eastAsia="仿宋_GB2312" w:cs="Times New Roman"/>
          <w:sz w:val="28"/>
        </w:rPr>
        <w:t>《农用地估价规程》（GB/T 28406-2012）；</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3.4</w:t>
      </w:r>
      <w:r>
        <w:rPr>
          <w:rFonts w:hint="default" w:ascii="Times New Roman" w:hAnsi="Times New Roman" w:eastAsia="仿宋_GB2312" w:cs="Times New Roman"/>
          <w:sz w:val="28"/>
          <w:szCs w:val="28"/>
        </w:rPr>
        <w:t>中华人民共和国国家质量监督检验检疫总局发布的国家标准</w:t>
      </w:r>
      <w:r>
        <w:rPr>
          <w:rFonts w:hint="default" w:ascii="Times New Roman" w:hAnsi="Times New Roman" w:eastAsia="仿宋_GB2312" w:cs="Times New Roman"/>
          <w:sz w:val="28"/>
        </w:rPr>
        <w:t>《土地利用现状分类》（GB/T 21010-2017）。</w:t>
      </w:r>
    </w:p>
    <w:p>
      <w:pPr>
        <w:pStyle w:val="11"/>
        <w:keepNext w:val="0"/>
        <w:keepLines w:val="0"/>
        <w:pageBreakBefore w:val="0"/>
        <w:kinsoku/>
        <w:wordWrap/>
        <w:overflowPunct/>
        <w:topLinePunct w:val="0"/>
        <w:bidi w:val="0"/>
        <w:adjustRightInd/>
        <w:spacing w:line="500" w:lineRule="exact"/>
        <w:ind w:firstLine="562" w:firstLineChars="200"/>
        <w:contextualSpacing/>
        <w:textAlignment w:val="auto"/>
        <w:rPr>
          <w:rFonts w:hint="default" w:ascii="Times New Roman" w:hAnsi="Times New Roman" w:eastAsia="仿宋_GB2312" w:cs="Times New Roman"/>
          <w:b/>
          <w:color w:val="000000"/>
          <w:kern w:val="2"/>
          <w:sz w:val="28"/>
        </w:rPr>
      </w:pPr>
      <w:r>
        <w:rPr>
          <w:rFonts w:hint="default" w:ascii="Times New Roman" w:hAnsi="Times New Roman" w:eastAsia="仿宋_GB2312" w:cs="Times New Roman"/>
          <w:b/>
          <w:color w:val="000000"/>
          <w:kern w:val="2"/>
          <w:sz w:val="28"/>
        </w:rPr>
        <w:t>4、其他资料</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4.1《评估委托协议书》复印件；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4.2《鱼塘评估明细表》复印件；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4.3《国有土地使用证》复印件；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4.4委托估价方营业执照复印件；</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4.5委托估价方提供的估价对象土地利用条件的资料。</w:t>
      </w:r>
    </w:p>
    <w:p>
      <w:pPr>
        <w:pStyle w:val="11"/>
        <w:keepNext w:val="0"/>
        <w:keepLines w:val="0"/>
        <w:pageBreakBefore w:val="0"/>
        <w:kinsoku/>
        <w:wordWrap/>
        <w:overflowPunct/>
        <w:topLinePunct w:val="0"/>
        <w:bidi w:val="0"/>
        <w:spacing w:line="500" w:lineRule="exact"/>
        <w:ind w:firstLine="562" w:firstLineChars="200"/>
        <w:textAlignment w:val="auto"/>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5、受托估价方掌握的有关资料</w:t>
      </w:r>
    </w:p>
    <w:p>
      <w:pPr>
        <w:keepNext w:val="0"/>
        <w:keepLines w:val="0"/>
        <w:pageBreakBefore w:val="0"/>
        <w:kinsoku/>
        <w:wordWrap/>
        <w:overflowPunct/>
        <w:topLinePunct w:val="0"/>
        <w:bidi w:val="0"/>
        <w:spacing w:line="500" w:lineRule="exact"/>
        <w:ind w:firstLine="57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5.1估价对象所在地自然条件等方面的基本情况资料；</w:t>
      </w:r>
    </w:p>
    <w:p>
      <w:pPr>
        <w:keepNext w:val="0"/>
        <w:keepLines w:val="0"/>
        <w:pageBreakBefore w:val="0"/>
        <w:kinsoku/>
        <w:wordWrap/>
        <w:overflowPunct/>
        <w:topLinePunct w:val="0"/>
        <w:bidi w:val="0"/>
        <w:spacing w:line="500" w:lineRule="exact"/>
        <w:ind w:firstLine="57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5.2估价对象所在地社会经济条件资料；</w:t>
      </w:r>
    </w:p>
    <w:p>
      <w:pPr>
        <w:keepNext w:val="0"/>
        <w:keepLines w:val="0"/>
        <w:pageBreakBefore w:val="0"/>
        <w:kinsoku/>
        <w:wordWrap/>
        <w:overflowPunct/>
        <w:topLinePunct w:val="0"/>
        <w:bidi w:val="0"/>
        <w:spacing w:line="500" w:lineRule="exact"/>
        <w:ind w:firstLine="57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5.3估价对象所在地行政区划人口基本情况资料；</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5.4土地估价专业评估师实地查勘、调查所获取的资料；</w:t>
      </w:r>
    </w:p>
    <w:p>
      <w:pPr>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5.5土地估价专业评估师实地查勘和调查收集的有关估价对象权属、自然因素、社会经济因素、特殊因素等方面的资料；</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5.6土地估价专业评估师实地查勘和调查收集的估价对象地形等自然条件资料；</w:t>
      </w:r>
    </w:p>
    <w:p>
      <w:pPr>
        <w:pStyle w:val="11"/>
        <w:keepNext w:val="0"/>
        <w:keepLines w:val="0"/>
        <w:pageBreakBefore w:val="0"/>
        <w:kinsoku/>
        <w:wordWrap/>
        <w:overflowPunct/>
        <w:topLinePunct w:val="0"/>
        <w:bidi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rPr>
        <w:t>5.7土地估价专业评估师收集的有关估价对象土地取得费用、开发费用等方面的资料。</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六、估价期日</w:t>
      </w:r>
    </w:p>
    <w:p>
      <w:pPr>
        <w:keepNext w:val="0"/>
        <w:keepLines w:val="0"/>
        <w:pageBreakBefore w:val="0"/>
        <w:widowControl w:val="0"/>
        <w:tabs>
          <w:tab w:val="left" w:pos="1920"/>
        </w:tabs>
        <w:kinsoku/>
        <w:wordWrap/>
        <w:overflowPunct/>
        <w:topLinePunct w:val="0"/>
        <w:autoSpaceDE/>
        <w:autoSpaceDN/>
        <w:bidi w:val="0"/>
        <w:adjustRightInd w:val="0"/>
        <w:snapToGrid w:val="0"/>
        <w:spacing w:line="500" w:lineRule="exact"/>
        <w:ind w:firstLine="627" w:firstLineChars="224"/>
        <w:textAlignment w:val="auto"/>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依据委托方要求及土地估价师查勘现场日期</w:t>
      </w:r>
      <w:r>
        <w:rPr>
          <w:rFonts w:hint="default" w:ascii="Times New Roman" w:hAnsi="Times New Roman" w:eastAsia="仿宋" w:cs="Times New Roman"/>
          <w:sz w:val="28"/>
        </w:rPr>
        <w:t>，</w:t>
      </w:r>
      <w:r>
        <w:rPr>
          <w:rFonts w:hint="default" w:ascii="Times New Roman" w:hAnsi="Times New Roman" w:eastAsia="仿宋_GB2312" w:cs="Times New Roman"/>
          <w:sz w:val="28"/>
        </w:rPr>
        <w:t>确定本次估价期日为二○二三年十二月三十一日。</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七、估价日期</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sz w:val="28"/>
        </w:rPr>
        <w:t>二○二三年十二月三十一日至二○二四年一月五日。</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00" w:lineRule="exact"/>
        <w:ind w:left="-1298" w:leftChars="-618" w:firstLine="1405" w:firstLineChars="5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八、地价定义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sz w:val="28"/>
        </w:rPr>
        <w:t>农用地价格是在正常市场条件下,相对于估价期日，依据农用地的自然因素、社会因素和特殊因素等,农用地所能实现的价格。</w:t>
      </w:r>
    </w:p>
    <w:p>
      <w:pPr>
        <w:pStyle w:val="17"/>
        <w:keepNext w:val="0"/>
        <w:keepLines w:val="0"/>
        <w:pageBreakBefore w:val="0"/>
        <w:kinsoku/>
        <w:wordWrap/>
        <w:overflowPunct/>
        <w:topLinePunct w:val="0"/>
        <w:bidi w:val="0"/>
        <w:spacing w:before="0" w:line="500" w:lineRule="exact"/>
        <w:ind w:firstLine="562" w:firstLineChars="200"/>
        <w:textAlignment w:val="auto"/>
        <w:rPr>
          <w:rFonts w:hint="default" w:ascii="Times New Roman" w:hAnsi="Times New Roman" w:cs="Times New Roman"/>
          <w:b/>
          <w:bCs/>
        </w:rPr>
      </w:pPr>
      <w:bookmarkStart w:id="1" w:name="_Hlk59385876"/>
      <w:r>
        <w:rPr>
          <w:rFonts w:hint="default" w:ascii="Times New Roman" w:hAnsi="Times New Roman" w:cs="Times New Roman"/>
          <w:b/>
          <w:bCs/>
        </w:rPr>
        <w:t>（一）地块一，位于东台河闸南首（淡水养殖）</w:t>
      </w:r>
    </w:p>
    <w:p>
      <w:pPr>
        <w:keepNext w:val="0"/>
        <w:keepLines w:val="0"/>
        <w:pageBreakBefore w:val="0"/>
        <w:widowControl/>
        <w:kinsoku/>
        <w:wordWrap/>
        <w:overflowPunct/>
        <w:topLinePunct w:val="0"/>
        <w:bidi w:val="0"/>
        <w:spacing w:line="50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1、估价对象规划用途、实际用途与设定用途</w:t>
      </w:r>
    </w:p>
    <w:p>
      <w:pPr>
        <w:keepNext w:val="0"/>
        <w:keepLines w:val="0"/>
        <w:pageBreakBefore w:val="0"/>
        <w:widowControl/>
        <w:kinsoku/>
        <w:wordWrap/>
        <w:overflowPunct/>
        <w:topLinePunct w:val="0"/>
        <w:bidi w:val="0"/>
        <w:spacing w:after="120" w:afterLines="50" w:line="500" w:lineRule="exact"/>
        <w:ind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根据委托方江苏省沿海农业发展有限公司提供的估价对象所属《国有土地使用证》（东国用（1999）字第270004号）记载，具体的土地权属状况为：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土地使用证号</w:t>
            </w:r>
          </w:p>
        </w:tc>
        <w:tc>
          <w:tcPr>
            <w:tcW w:w="1678"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土地使用者</w:t>
            </w:r>
          </w:p>
        </w:tc>
        <w:tc>
          <w:tcPr>
            <w:tcW w:w="1277"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坐落</w:t>
            </w:r>
          </w:p>
        </w:tc>
        <w:tc>
          <w:tcPr>
            <w:tcW w:w="991"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用途</w:t>
            </w:r>
          </w:p>
        </w:tc>
        <w:tc>
          <w:tcPr>
            <w:tcW w:w="1120"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总面积</w:t>
            </w:r>
          </w:p>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（亩）</w:t>
            </w:r>
          </w:p>
        </w:tc>
        <w:tc>
          <w:tcPr>
            <w:tcW w:w="1170"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评估面积</w:t>
            </w:r>
          </w:p>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（亩）</w:t>
            </w:r>
          </w:p>
        </w:tc>
        <w:tc>
          <w:tcPr>
            <w:tcW w:w="1264" w:type="dxa"/>
            <w:vAlign w:val="center"/>
          </w:tcPr>
          <w:p>
            <w:pPr>
              <w:pStyle w:val="17"/>
              <w:spacing w:before="0" w:line="240" w:lineRule="exact"/>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东国用（1999）字第270004号</w:t>
            </w:r>
          </w:p>
        </w:tc>
        <w:tc>
          <w:tcPr>
            <w:tcW w:w="1678"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东台市金东台</w:t>
            </w:r>
          </w:p>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农场</w:t>
            </w:r>
          </w:p>
        </w:tc>
        <w:tc>
          <w:tcPr>
            <w:tcW w:w="1277"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东台河</w:t>
            </w:r>
          </w:p>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闸南首</w:t>
            </w:r>
          </w:p>
        </w:tc>
        <w:tc>
          <w:tcPr>
            <w:tcW w:w="991"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农用地</w:t>
            </w:r>
          </w:p>
        </w:tc>
        <w:tc>
          <w:tcPr>
            <w:tcW w:w="1120"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35232.885</w:t>
            </w:r>
          </w:p>
        </w:tc>
        <w:tc>
          <w:tcPr>
            <w:tcW w:w="1170" w:type="dxa"/>
            <w:vAlign w:val="center"/>
          </w:tcPr>
          <w:p>
            <w:pPr>
              <w:widowControl/>
              <w:jc w:val="left"/>
              <w:textAlignment w:val="bottom"/>
              <w:rPr>
                <w:rFonts w:hint="default" w:ascii="Times New Roman" w:hAnsi="Times New Roman" w:cs="Times New Roman"/>
                <w:szCs w:val="21"/>
              </w:rPr>
            </w:pPr>
            <w:r>
              <w:rPr>
                <w:rFonts w:hint="default" w:ascii="Times New Roman" w:hAnsi="Times New Roman" w:eastAsia="仿宋_GB2312" w:cs="Times New Roman"/>
                <w:szCs w:val="21"/>
              </w:rPr>
              <w:t>4173.15</w:t>
            </w:r>
          </w:p>
        </w:tc>
        <w:tc>
          <w:tcPr>
            <w:tcW w:w="1264" w:type="dxa"/>
            <w:vAlign w:val="center"/>
          </w:tcPr>
          <w:p>
            <w:pPr>
              <w:pStyle w:val="17"/>
              <w:spacing w:before="0" w:line="240" w:lineRule="exact"/>
              <w:ind w:right="-334" w:firstLine="0"/>
              <w:jc w:val="left"/>
              <w:rPr>
                <w:rFonts w:hint="default" w:ascii="Times New Roman" w:hAnsi="Times New Roman" w:cs="Times New Roman"/>
                <w:kern w:val="2"/>
                <w:sz w:val="21"/>
                <w:szCs w:val="21"/>
              </w:rPr>
            </w:pPr>
            <w:r>
              <w:rPr>
                <w:rFonts w:hint="default" w:ascii="Times New Roman" w:hAnsi="Times New Roman" w:cs="Times New Roman"/>
                <w:kern w:val="2"/>
                <w:sz w:val="21"/>
                <w:szCs w:val="21"/>
              </w:rPr>
              <w:t>1999年6月</w:t>
            </w:r>
          </w:p>
        </w:tc>
      </w:tr>
    </w:tbl>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估价对象为“东国用（1999）字第270004号”《国有土地使用证》中的部分农用地。根据委托方的“委托评估协议”及附件“2024年</w:t>
      </w:r>
      <w:r>
        <w:rPr>
          <w:rFonts w:hint="eastAsia" w:eastAsia="仿宋_GB2312" w:cs="Times New Roman"/>
          <w:sz w:val="28"/>
          <w:lang w:eastAsia="zh-CN"/>
        </w:rPr>
        <w:t>金东台分公司</w:t>
      </w:r>
      <w:r>
        <w:rPr>
          <w:rFonts w:hint="default" w:ascii="Times New Roman" w:hAnsi="Times New Roman" w:eastAsia="仿宋_GB2312" w:cs="Times New Roman"/>
          <w:sz w:val="28"/>
        </w:rPr>
        <w:t>承包统计表”，评估范围为4173.15亩，具体位置详见委托方提供的位置示意图。</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2、估价对象实际开发程度与设定开发程度</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在估价期日，估价对象已完成不同程度的开发建设，正在进行淡水养殖，宗地实际基础开发程度为宗地红线内外通路、通电、通沟渠泵站灌排水，具备养殖用地相应的土地平均整开发水平</w:t>
      </w:r>
      <w:r>
        <w:rPr>
          <w:rFonts w:hint="default" w:ascii="Times New Roman" w:hAnsi="Times New Roman" w:eastAsia="仿宋_GB2312" w:cs="Times New Roman"/>
          <w:kern w:val="0"/>
          <w:sz w:val="28"/>
          <w:szCs w:val="28"/>
        </w:rPr>
        <w:t>。</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3、使用年期</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根据委托方江苏省沿海农业发展有限公司提供的估价对象的《国有土地使用证》，估价对象权利性质为划拨，无使用期限；根据本次委托方提供的相关资料结合本次估价目的，确定本次土地发包租赁期限为1年(2024年度）</w:t>
      </w:r>
      <w:r>
        <w:rPr>
          <w:rFonts w:hint="default" w:ascii="Times New Roman" w:hAnsi="Times New Roman" w:eastAsia="仿宋_GB2312" w:cs="Times New Roman"/>
          <w:kern w:val="0"/>
          <w:sz w:val="28"/>
          <w:szCs w:val="28"/>
        </w:rPr>
        <w:t>。</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4、评估结果价格内涵</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本次委托估价目的是为委托方</w:t>
      </w:r>
      <w:r>
        <w:rPr>
          <w:rFonts w:hint="default" w:ascii="Times New Roman" w:hAnsi="Times New Roman" w:eastAsia="仿宋_GB2312" w:cs="Times New Roman"/>
          <w:sz w:val="28"/>
          <w:szCs w:val="28"/>
        </w:rPr>
        <w:t>了解</w:t>
      </w:r>
      <w:r>
        <w:rPr>
          <w:rFonts w:hint="default" w:ascii="Times New Roman" w:hAnsi="Times New Roman" w:eastAsia="仿宋_GB2312" w:cs="Times New Roman"/>
          <w:sz w:val="28"/>
        </w:rPr>
        <w:t>位于</w:t>
      </w:r>
      <w:r>
        <w:rPr>
          <w:rFonts w:hint="default" w:ascii="Times New Roman" w:hAnsi="Times New Roman" w:eastAsia="仿宋_GB2312" w:cs="Times New Roman"/>
          <w:sz w:val="28"/>
          <w:szCs w:val="28"/>
        </w:rPr>
        <w:t>东台河闸南首（淡水养殖）</w:t>
      </w:r>
      <w:r>
        <w:rPr>
          <w:rFonts w:hint="default" w:ascii="Times New Roman" w:hAnsi="Times New Roman" w:eastAsia="仿宋_GB2312" w:cs="Times New Roman"/>
          <w:sz w:val="28"/>
        </w:rPr>
        <w:t>部分国有划拨农用地使用权市场租金价格，</w:t>
      </w:r>
      <w:r>
        <w:rPr>
          <w:rFonts w:hint="default" w:ascii="Times New Roman" w:hAnsi="Times New Roman" w:eastAsia="仿宋_GB2312" w:cs="Times New Roman"/>
          <w:sz w:val="28"/>
          <w:szCs w:val="28"/>
          <w:lang w:val="zh-CN"/>
        </w:rPr>
        <w:t>对该块国有划拨农用地使用权市场租金价格进行评估，为其2024年度发包提供价格参考依据。</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估价对象</w:t>
      </w:r>
      <w:r>
        <w:rPr>
          <w:rFonts w:hint="default" w:ascii="Times New Roman" w:hAnsi="Times New Roman" w:eastAsia="仿宋_GB2312" w:cs="Times New Roman"/>
          <w:sz w:val="28"/>
        </w:rPr>
        <w:t>位于东台河闸南首（淡水养殖）用地</w:t>
      </w:r>
      <w:r>
        <w:rPr>
          <w:rFonts w:hint="default" w:ascii="Times New Roman" w:hAnsi="Times New Roman" w:eastAsia="仿宋_GB2312" w:cs="Times New Roman"/>
          <w:kern w:val="0"/>
          <w:sz w:val="28"/>
          <w:szCs w:val="28"/>
        </w:rPr>
        <w:t>，用途为</w:t>
      </w:r>
      <w:r>
        <w:rPr>
          <w:rFonts w:hint="default" w:ascii="Times New Roman" w:hAnsi="Times New Roman" w:eastAsia="仿宋_GB2312" w:cs="Times New Roman"/>
          <w:sz w:val="28"/>
        </w:rPr>
        <w:t>农用地</w:t>
      </w:r>
      <w:r>
        <w:rPr>
          <w:rFonts w:hint="default" w:ascii="Times New Roman" w:hAnsi="Times New Roman" w:eastAsia="仿宋_GB2312" w:cs="Times New Roman"/>
          <w:kern w:val="0"/>
          <w:sz w:val="28"/>
          <w:szCs w:val="28"/>
        </w:rPr>
        <w:t>，宗地红线外通路、通电、通沟渠泵站灌排水、具备养殖相应的土地平均整开发水平，设定的养殖期为一年养殖期，于估价期日的宗地2024年发包底价。</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w:t>
      </w:r>
      <w:r>
        <w:rPr>
          <w:rFonts w:hint="default" w:ascii="Times New Roman" w:hAnsi="Times New Roman" w:eastAsia="仿宋_GB2312" w:cs="Times New Roman"/>
          <w:sz w:val="28"/>
        </w:rPr>
        <w:t>淡水养殖</w:t>
      </w:r>
      <w:r>
        <w:rPr>
          <w:rFonts w:hint="default" w:ascii="Times New Roman" w:hAnsi="Times New Roman" w:eastAsia="仿宋_GB2312" w:cs="Times New Roman"/>
          <w:kern w:val="0"/>
          <w:sz w:val="28"/>
          <w:szCs w:val="28"/>
        </w:rPr>
        <w:t>），于估价期日的宗地使用权2024年发包底价</w:t>
      </w:r>
      <w:r>
        <w:rPr>
          <w:rFonts w:hint="default" w:ascii="Times New Roman" w:hAnsi="Times New Roman" w:eastAsia="仿宋_GB2312" w:cs="Times New Roman"/>
          <w:sz w:val="28"/>
        </w:rPr>
        <w:t>。</w:t>
      </w:r>
    </w:p>
    <w:p>
      <w:pPr>
        <w:pStyle w:val="17"/>
        <w:keepNext w:val="0"/>
        <w:keepLines w:val="0"/>
        <w:pageBreakBefore w:val="0"/>
        <w:kinsoku/>
        <w:wordWrap/>
        <w:overflowPunct/>
        <w:topLinePunct w:val="0"/>
        <w:autoSpaceDE/>
        <w:autoSpaceDN/>
        <w:bidi w:val="0"/>
        <w:spacing w:before="0" w:line="500" w:lineRule="exact"/>
        <w:ind w:firstLine="562" w:firstLineChars="200"/>
        <w:rPr>
          <w:rFonts w:hint="default" w:ascii="Times New Roman" w:hAnsi="Times New Roman" w:cs="Times New Roman"/>
          <w:b/>
          <w:bCs/>
        </w:rPr>
      </w:pPr>
      <w:r>
        <w:rPr>
          <w:rFonts w:hint="default" w:ascii="Times New Roman" w:hAnsi="Times New Roman" w:cs="Times New Roman"/>
          <w:b/>
          <w:bCs/>
        </w:rPr>
        <w:t>（二）地块二，位于东台河闸南首（林地）</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1、估价对象规划用途、实际用途与设定用途</w:t>
      </w:r>
    </w:p>
    <w:p>
      <w:pPr>
        <w:keepNext w:val="0"/>
        <w:keepLines w:val="0"/>
        <w:pageBreakBefore w:val="0"/>
        <w:widowControl/>
        <w:kinsoku/>
        <w:wordWrap/>
        <w:overflowPunct/>
        <w:topLinePunct w:val="0"/>
        <w:autoSpaceDE/>
        <w:autoSpaceDN/>
        <w:bidi w:val="0"/>
        <w:spacing w:after="120" w:afterLines="50"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根据委托方江苏省沿海农业发展有限公司提供的估价对象所属《国有土地使用证》（东国用（1999）字第270004号）记载，具体的土地权属状况为：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1" w:firstLineChars="10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土地使用证号</w:t>
            </w:r>
          </w:p>
        </w:tc>
        <w:tc>
          <w:tcPr>
            <w:tcW w:w="1678"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1" w:firstLineChars="10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土地使用者</w:t>
            </w:r>
          </w:p>
        </w:tc>
        <w:tc>
          <w:tcPr>
            <w:tcW w:w="1277"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422" w:firstLineChars="20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坐落</w:t>
            </w:r>
          </w:p>
        </w:tc>
        <w:tc>
          <w:tcPr>
            <w:tcW w:w="991"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1" w:firstLineChars="10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用途</w:t>
            </w:r>
          </w:p>
        </w:tc>
        <w:tc>
          <w:tcPr>
            <w:tcW w:w="1120"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总面积</w:t>
            </w:r>
          </w:p>
          <w:p>
            <w:pPr>
              <w:pStyle w:val="17"/>
              <w:keepNext w:val="0"/>
              <w:keepLines w:val="0"/>
              <w:pageBreakBefore w:val="0"/>
              <w:kinsoku/>
              <w:wordWrap/>
              <w:overflowPunct/>
              <w:topLinePunct w:val="0"/>
              <w:autoSpaceDE/>
              <w:autoSpaceDN/>
              <w:bidi w:val="0"/>
              <w:snapToGrid/>
              <w:spacing w:before="0" w:line="240" w:lineRule="auto"/>
              <w:ind w:right="-334" w:firstLine="0"/>
              <w:jc w:val="left"/>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（亩）</w:t>
            </w:r>
          </w:p>
        </w:tc>
        <w:tc>
          <w:tcPr>
            <w:tcW w:w="1170"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评估面积</w:t>
            </w:r>
          </w:p>
          <w:p>
            <w:pPr>
              <w:pStyle w:val="17"/>
              <w:keepNext w:val="0"/>
              <w:keepLines w:val="0"/>
              <w:pageBreakBefore w:val="0"/>
              <w:kinsoku/>
              <w:wordWrap/>
              <w:overflowPunct/>
              <w:topLinePunct w:val="0"/>
              <w:autoSpaceDE/>
              <w:autoSpaceDN/>
              <w:bidi w:val="0"/>
              <w:snapToGrid/>
              <w:spacing w:before="0" w:line="240" w:lineRule="auto"/>
              <w:ind w:right="-334" w:firstLine="211" w:firstLineChars="10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（亩）</w:t>
            </w:r>
          </w:p>
        </w:tc>
        <w:tc>
          <w:tcPr>
            <w:tcW w:w="1264"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rPr>
                <w:rFonts w:hint="default" w:ascii="Times New Roman" w:hAnsi="Times New Roman" w:cs="Times New Roman"/>
                <w:kern w:val="2"/>
                <w:sz w:val="21"/>
                <w:szCs w:val="21"/>
              </w:rPr>
            </w:pPr>
            <w:r>
              <w:rPr>
                <w:rFonts w:hint="default" w:ascii="Times New Roman" w:hAnsi="Times New Roman" w:cs="Times New Roman"/>
                <w:kern w:val="2"/>
                <w:sz w:val="21"/>
                <w:szCs w:val="21"/>
              </w:rPr>
              <w:t>东国用（1999）字第270004号</w:t>
            </w:r>
          </w:p>
        </w:tc>
        <w:tc>
          <w:tcPr>
            <w:tcW w:w="1678"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0" w:firstLineChars="100"/>
              <w:rPr>
                <w:rFonts w:hint="default" w:ascii="Times New Roman" w:hAnsi="Times New Roman" w:cs="Times New Roman"/>
                <w:kern w:val="2"/>
                <w:sz w:val="21"/>
                <w:szCs w:val="21"/>
              </w:rPr>
            </w:pPr>
            <w:r>
              <w:rPr>
                <w:rFonts w:hint="default" w:ascii="Times New Roman" w:hAnsi="Times New Roman" w:cs="Times New Roman"/>
                <w:kern w:val="2"/>
                <w:sz w:val="21"/>
                <w:szCs w:val="21"/>
              </w:rPr>
              <w:t>东台市金东台</w:t>
            </w:r>
          </w:p>
          <w:p>
            <w:pPr>
              <w:pStyle w:val="17"/>
              <w:keepNext w:val="0"/>
              <w:keepLines w:val="0"/>
              <w:pageBreakBefore w:val="0"/>
              <w:kinsoku/>
              <w:wordWrap/>
              <w:overflowPunct/>
              <w:topLinePunct w:val="0"/>
              <w:autoSpaceDE/>
              <w:autoSpaceDN/>
              <w:bidi w:val="0"/>
              <w:snapToGrid/>
              <w:spacing w:before="0" w:line="240" w:lineRule="auto"/>
              <w:ind w:right="-334" w:firstLine="420" w:firstLineChars="200"/>
              <w:rPr>
                <w:rFonts w:hint="default" w:ascii="Times New Roman" w:hAnsi="Times New Roman" w:cs="Times New Roman"/>
                <w:kern w:val="2"/>
                <w:sz w:val="21"/>
                <w:szCs w:val="21"/>
              </w:rPr>
            </w:pPr>
            <w:r>
              <w:rPr>
                <w:rFonts w:hint="default" w:ascii="Times New Roman" w:hAnsi="Times New Roman" w:cs="Times New Roman"/>
                <w:kern w:val="2"/>
                <w:sz w:val="21"/>
                <w:szCs w:val="21"/>
              </w:rPr>
              <w:t>农场</w:t>
            </w:r>
          </w:p>
        </w:tc>
        <w:tc>
          <w:tcPr>
            <w:tcW w:w="1277"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0" w:firstLineChars="100"/>
              <w:rPr>
                <w:rFonts w:hint="default" w:ascii="Times New Roman" w:hAnsi="Times New Roman" w:cs="Times New Roman"/>
                <w:kern w:val="2"/>
                <w:sz w:val="21"/>
                <w:szCs w:val="21"/>
              </w:rPr>
            </w:pPr>
            <w:r>
              <w:rPr>
                <w:rFonts w:hint="default" w:ascii="Times New Roman" w:hAnsi="Times New Roman" w:cs="Times New Roman"/>
                <w:kern w:val="2"/>
                <w:sz w:val="21"/>
                <w:szCs w:val="21"/>
              </w:rPr>
              <w:t>东台河</w:t>
            </w:r>
          </w:p>
          <w:p>
            <w:pPr>
              <w:pStyle w:val="17"/>
              <w:keepNext w:val="0"/>
              <w:keepLines w:val="0"/>
              <w:pageBreakBefore w:val="0"/>
              <w:kinsoku/>
              <w:wordWrap/>
              <w:overflowPunct/>
              <w:topLinePunct w:val="0"/>
              <w:autoSpaceDE/>
              <w:autoSpaceDN/>
              <w:bidi w:val="0"/>
              <w:snapToGrid/>
              <w:spacing w:before="0" w:line="240" w:lineRule="auto"/>
              <w:ind w:right="-334" w:firstLine="210" w:firstLineChars="100"/>
              <w:rPr>
                <w:rFonts w:hint="default" w:ascii="Times New Roman" w:hAnsi="Times New Roman" w:cs="Times New Roman"/>
                <w:kern w:val="2"/>
                <w:sz w:val="21"/>
                <w:szCs w:val="21"/>
              </w:rPr>
            </w:pPr>
            <w:r>
              <w:rPr>
                <w:rFonts w:hint="default" w:ascii="Times New Roman" w:hAnsi="Times New Roman" w:cs="Times New Roman"/>
                <w:kern w:val="2"/>
                <w:sz w:val="21"/>
                <w:szCs w:val="21"/>
              </w:rPr>
              <w:t>闸南首</w:t>
            </w:r>
          </w:p>
        </w:tc>
        <w:tc>
          <w:tcPr>
            <w:tcW w:w="991"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210" w:firstLineChars="100"/>
              <w:rPr>
                <w:rFonts w:hint="default" w:ascii="Times New Roman" w:hAnsi="Times New Roman" w:cs="Times New Roman"/>
                <w:kern w:val="2"/>
                <w:sz w:val="21"/>
                <w:szCs w:val="21"/>
              </w:rPr>
            </w:pPr>
            <w:r>
              <w:rPr>
                <w:rFonts w:hint="default" w:ascii="Times New Roman" w:hAnsi="Times New Roman" w:cs="Times New Roman"/>
                <w:kern w:val="2"/>
                <w:sz w:val="21"/>
                <w:szCs w:val="21"/>
              </w:rPr>
              <w:t>农用地</w:t>
            </w:r>
          </w:p>
        </w:tc>
        <w:tc>
          <w:tcPr>
            <w:tcW w:w="1120"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rPr>
                <w:rFonts w:hint="default" w:ascii="Times New Roman" w:hAnsi="Times New Roman" w:cs="Times New Roman"/>
                <w:kern w:val="2"/>
                <w:sz w:val="21"/>
                <w:szCs w:val="21"/>
              </w:rPr>
            </w:pPr>
            <w:r>
              <w:rPr>
                <w:rFonts w:hint="default" w:ascii="Times New Roman" w:hAnsi="Times New Roman" w:cs="Times New Roman"/>
                <w:kern w:val="2"/>
                <w:sz w:val="21"/>
                <w:szCs w:val="21"/>
              </w:rPr>
              <w:t>35232.885</w:t>
            </w:r>
          </w:p>
        </w:tc>
        <w:tc>
          <w:tcPr>
            <w:tcW w:w="1170" w:type="dxa"/>
            <w:vAlign w:val="center"/>
          </w:tcPr>
          <w:p>
            <w:pPr>
              <w:keepNext w:val="0"/>
              <w:keepLines w:val="0"/>
              <w:pageBreakBefore w:val="0"/>
              <w:widowControl/>
              <w:kinsoku/>
              <w:wordWrap/>
              <w:overflowPunct/>
              <w:topLinePunct w:val="0"/>
              <w:autoSpaceDE/>
              <w:autoSpaceDN/>
              <w:bidi w:val="0"/>
              <w:snapToGrid/>
              <w:spacing w:line="240" w:lineRule="auto"/>
              <w:jc w:val="center"/>
              <w:textAlignment w:val="bottom"/>
              <w:rPr>
                <w:rFonts w:hint="default" w:ascii="Times New Roman" w:hAnsi="Times New Roman" w:cs="Times New Roman"/>
                <w:szCs w:val="21"/>
              </w:rPr>
            </w:pPr>
            <w:r>
              <w:rPr>
                <w:rFonts w:hint="default" w:ascii="Times New Roman" w:hAnsi="Times New Roman" w:eastAsia="仿宋_GB2312" w:cs="Times New Roman"/>
                <w:szCs w:val="21"/>
              </w:rPr>
              <w:t>659.52</w:t>
            </w:r>
          </w:p>
        </w:tc>
        <w:tc>
          <w:tcPr>
            <w:tcW w:w="1264" w:type="dxa"/>
            <w:vAlign w:val="center"/>
          </w:tcPr>
          <w:p>
            <w:pPr>
              <w:pStyle w:val="17"/>
              <w:keepNext w:val="0"/>
              <w:keepLines w:val="0"/>
              <w:pageBreakBefore w:val="0"/>
              <w:kinsoku/>
              <w:wordWrap/>
              <w:overflowPunct/>
              <w:topLinePunct w:val="0"/>
              <w:autoSpaceDE/>
              <w:autoSpaceDN/>
              <w:bidi w:val="0"/>
              <w:snapToGrid/>
              <w:spacing w:before="0" w:line="240" w:lineRule="auto"/>
              <w:ind w:right="-334" w:firstLine="0"/>
              <w:rPr>
                <w:rFonts w:hint="default" w:ascii="Times New Roman" w:hAnsi="Times New Roman" w:cs="Times New Roman"/>
                <w:kern w:val="2"/>
                <w:sz w:val="21"/>
                <w:szCs w:val="21"/>
              </w:rPr>
            </w:pPr>
            <w:r>
              <w:rPr>
                <w:rFonts w:hint="default" w:ascii="Times New Roman" w:hAnsi="Times New Roman" w:cs="Times New Roman"/>
                <w:kern w:val="2"/>
                <w:sz w:val="21"/>
                <w:szCs w:val="21"/>
              </w:rPr>
              <w:t>1999年6月</w:t>
            </w:r>
          </w:p>
        </w:tc>
      </w:tr>
    </w:tbl>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估价对象为“东国用（1999）字第270004号”《国有土地使用证》中的部分农用地。根据委托方的“委托评估协议”及附件“2024年</w:t>
      </w:r>
      <w:r>
        <w:rPr>
          <w:rFonts w:hint="eastAsia" w:eastAsia="仿宋_GB2312" w:cs="Times New Roman"/>
          <w:sz w:val="28"/>
          <w:lang w:eastAsia="zh-CN"/>
        </w:rPr>
        <w:t>金东台分公司</w:t>
      </w:r>
      <w:r>
        <w:rPr>
          <w:rFonts w:hint="default" w:ascii="Times New Roman" w:hAnsi="Times New Roman" w:eastAsia="仿宋_GB2312" w:cs="Times New Roman"/>
          <w:sz w:val="28"/>
        </w:rPr>
        <w:t>承包统计表”，评估范围为659.62亩，具体位置详见委托方提供的位置示意图。</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2、估价对象实际开发程度与设定开发程度</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在估价期日，估价对象已完成不同程度的开发建设，正在进行林地种植，宗地实际基础开发程度为宗地红线内外通路、通电、通沟渠泵站灌排水，具备种植用地相应的土地平均整开发水平</w:t>
      </w:r>
      <w:r>
        <w:rPr>
          <w:rFonts w:hint="default" w:ascii="Times New Roman" w:hAnsi="Times New Roman" w:eastAsia="仿宋_GB2312" w:cs="Times New Roman"/>
          <w:kern w:val="0"/>
          <w:sz w:val="28"/>
          <w:szCs w:val="28"/>
        </w:rPr>
        <w:t>。本次评估设定开发程度为</w:t>
      </w:r>
      <w:r>
        <w:rPr>
          <w:rFonts w:hint="default" w:ascii="Times New Roman" w:hAnsi="Times New Roman" w:eastAsia="仿宋_GB2312" w:cs="Times New Roman"/>
          <w:sz w:val="28"/>
        </w:rPr>
        <w:t>宗地红线内外通路、通电、通沟渠泵站灌排水，具备种植用地相应的土地平均整开发水平</w:t>
      </w:r>
      <w:r>
        <w:rPr>
          <w:rFonts w:hint="default" w:ascii="Times New Roman" w:hAnsi="Times New Roman" w:eastAsia="仿宋_GB2312" w:cs="Times New Roman"/>
          <w:kern w:val="0"/>
          <w:sz w:val="28"/>
          <w:szCs w:val="28"/>
        </w:rPr>
        <w:t>。</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3、使用年期</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根据委托方江苏省沿海农业发展有限公司提供的估价对象的《国有土地使用证》，估价对象权利性质为划拨，无使用期限；根据本次委托方提供的相关资料结合本次估价目的，确定本次土地发包租赁期限为1年(2024年度）</w:t>
      </w:r>
      <w:r>
        <w:rPr>
          <w:rFonts w:hint="default" w:ascii="Times New Roman" w:hAnsi="Times New Roman" w:eastAsia="仿宋_GB2312" w:cs="Times New Roman"/>
          <w:kern w:val="0"/>
          <w:sz w:val="28"/>
          <w:szCs w:val="28"/>
        </w:rPr>
        <w:t>。</w:t>
      </w:r>
    </w:p>
    <w:p>
      <w:pPr>
        <w:keepNext w:val="0"/>
        <w:keepLines w:val="0"/>
        <w:pageBreakBefore w:val="0"/>
        <w:widowControl/>
        <w:kinsoku/>
        <w:wordWrap/>
        <w:overflowPunct/>
        <w:topLinePunct w:val="0"/>
        <w:autoSpaceDE/>
        <w:autoSpaceDN/>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4、评估结果价格内涵</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本次委托估价目的是为委托方</w:t>
      </w:r>
      <w:r>
        <w:rPr>
          <w:rFonts w:hint="default" w:ascii="Times New Roman" w:hAnsi="Times New Roman" w:eastAsia="仿宋_GB2312" w:cs="Times New Roman"/>
          <w:sz w:val="28"/>
          <w:szCs w:val="28"/>
        </w:rPr>
        <w:t>了解</w:t>
      </w:r>
      <w:r>
        <w:rPr>
          <w:rFonts w:hint="default" w:ascii="Times New Roman" w:hAnsi="Times New Roman" w:eastAsia="仿宋_GB2312" w:cs="Times New Roman"/>
          <w:sz w:val="28"/>
        </w:rPr>
        <w:t>位于</w:t>
      </w:r>
      <w:r>
        <w:rPr>
          <w:rFonts w:hint="default" w:ascii="Times New Roman" w:hAnsi="Times New Roman" w:eastAsia="仿宋_GB2312" w:cs="Times New Roman"/>
          <w:sz w:val="28"/>
          <w:szCs w:val="28"/>
        </w:rPr>
        <w:t>东台河闸南首（林地）</w:t>
      </w:r>
      <w:r>
        <w:rPr>
          <w:rFonts w:hint="default" w:ascii="Times New Roman" w:hAnsi="Times New Roman" w:eastAsia="仿宋_GB2312" w:cs="Times New Roman"/>
          <w:sz w:val="28"/>
        </w:rPr>
        <w:t>部分国有划拨农用地使用权市场租金价格，</w:t>
      </w:r>
      <w:r>
        <w:rPr>
          <w:rFonts w:hint="default" w:ascii="Times New Roman" w:hAnsi="Times New Roman" w:eastAsia="仿宋_GB2312" w:cs="Times New Roman"/>
          <w:sz w:val="28"/>
          <w:szCs w:val="28"/>
          <w:lang w:val="zh-CN"/>
        </w:rPr>
        <w:t>对该块国有划拨农用地使用权市场租金价格进行评估，为其2024年度发包提供价格参考依据。</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估价对象</w:t>
      </w:r>
      <w:r>
        <w:rPr>
          <w:rFonts w:hint="default" w:ascii="Times New Roman" w:hAnsi="Times New Roman" w:eastAsia="仿宋_GB2312" w:cs="Times New Roman"/>
          <w:sz w:val="28"/>
        </w:rPr>
        <w:t>位于东台河闸南首（林地）用地</w:t>
      </w:r>
      <w:r>
        <w:rPr>
          <w:rFonts w:hint="default" w:ascii="Times New Roman" w:hAnsi="Times New Roman" w:eastAsia="仿宋_GB2312" w:cs="Times New Roman"/>
          <w:kern w:val="0"/>
          <w:sz w:val="28"/>
          <w:szCs w:val="28"/>
        </w:rPr>
        <w:t>，用途为</w:t>
      </w:r>
      <w:r>
        <w:rPr>
          <w:rFonts w:hint="default" w:ascii="Times New Roman" w:hAnsi="Times New Roman" w:eastAsia="仿宋_GB2312" w:cs="Times New Roman"/>
          <w:sz w:val="28"/>
        </w:rPr>
        <w:t>农用地</w:t>
      </w:r>
      <w:r>
        <w:rPr>
          <w:rFonts w:hint="default" w:ascii="Times New Roman" w:hAnsi="Times New Roman" w:eastAsia="仿宋_GB2312" w:cs="Times New Roman"/>
          <w:kern w:val="0"/>
          <w:sz w:val="28"/>
          <w:szCs w:val="28"/>
        </w:rPr>
        <w:t>，宗地红线外通路、通电、通沟渠泵站灌排水、具备种植用地相应的土地平均整开发水平，设定的养殖期为一年养殖期，于估价期日的宗地2024年发包底价。</w:t>
      </w:r>
    </w:p>
    <w:p>
      <w:pPr>
        <w:keepNext w:val="0"/>
        <w:keepLines w:val="0"/>
        <w:pageBreakBefore w:val="0"/>
        <w:widowControl/>
        <w:kinsoku/>
        <w:wordWrap/>
        <w:overflowPunct/>
        <w:topLinePunct w:val="0"/>
        <w:autoSpaceDE/>
        <w:autoSpaceDN/>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林地），于估价期日的宗地使用权2024年发包底价</w:t>
      </w:r>
      <w:r>
        <w:rPr>
          <w:rFonts w:hint="default" w:ascii="Times New Roman" w:hAnsi="Times New Roman" w:eastAsia="仿宋_GB2312" w:cs="Times New Roman"/>
          <w:sz w:val="28"/>
        </w:rPr>
        <w:t>。</w:t>
      </w:r>
    </w:p>
    <w:bookmarkEnd w:id="1"/>
    <w:p>
      <w:pPr>
        <w:keepNext w:val="0"/>
        <w:keepLines w:val="0"/>
        <w:pageBreakBefore w:val="0"/>
        <w:kinsoku/>
        <w:wordWrap/>
        <w:overflowPunct/>
        <w:topLinePunct w:val="0"/>
        <w:autoSpaceDE/>
        <w:autoSpaceDN/>
        <w:bidi w:val="0"/>
        <w:adjustRightInd w:val="0"/>
        <w:snapToGrid w:val="0"/>
        <w:spacing w:before="120" w:beforeLines="50" w:after="120" w:afterLines="50" w:line="500" w:lineRule="exact"/>
        <w:ind w:left="-1298" w:leftChars="-618" w:firstLine="1405" w:firstLineChars="5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九、估价结果</w:t>
      </w:r>
    </w:p>
    <w:p>
      <w:pPr>
        <w:keepNext w:val="0"/>
        <w:keepLines w:val="0"/>
        <w:pageBreakBefore w:val="0"/>
        <w:tabs>
          <w:tab w:val="left" w:pos="1920"/>
        </w:tabs>
        <w:kinsoku/>
        <w:wordWrap/>
        <w:overflowPunct/>
        <w:topLinePunct w:val="0"/>
        <w:autoSpaceDE/>
        <w:autoSpaceDN/>
        <w:bidi w:val="0"/>
        <w:adjustRightInd w:val="0"/>
        <w:snapToGrid w:val="0"/>
        <w:spacing w:line="500" w:lineRule="exact"/>
        <w:ind w:firstLine="627" w:firstLineChars="224"/>
        <w:outlineLvl w:val="0"/>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rPr>
        <w:t>经估价人员现场勘查和对当地市场分析，按照地价评估的基本原则和估价程序，选择合适的土地评估方法，评估得到估价对象在估价设定的开发程度条件下，于估价期日二○二三年十二月三十一日，评估设定宗地用途为农用地，设定宗地</w:t>
      </w:r>
      <w:r>
        <w:rPr>
          <w:rFonts w:hint="default" w:ascii="Times New Roman" w:hAnsi="Times New Roman" w:eastAsia="仿宋_GB2312" w:cs="Times New Roman"/>
          <w:kern w:val="0"/>
          <w:sz w:val="28"/>
          <w:szCs w:val="28"/>
        </w:rPr>
        <w:t>红线内外通路、通电、通沟渠泵站灌排水，具备养殖、种植用地相应的土地平均整开发水平</w:t>
      </w:r>
      <w:r>
        <w:rPr>
          <w:rFonts w:hint="default" w:ascii="Times New Roman" w:hAnsi="Times New Roman" w:eastAsia="仿宋_GB2312" w:cs="Times New Roman"/>
          <w:sz w:val="28"/>
        </w:rPr>
        <w:t>，本次评估面积约4832.77亩（其中淡水养殖鱼塘4173.15亩，林地659.52亩），在公开市场条件下的2024年发包价格，</w:t>
      </w:r>
      <w:r>
        <w:rPr>
          <w:rFonts w:hint="default" w:ascii="Times New Roman" w:hAnsi="Times New Roman" w:eastAsia="仿宋_GB2312" w:cs="Times New Roman"/>
          <w:sz w:val="28"/>
          <w:szCs w:val="28"/>
        </w:rPr>
        <w:t>具体估价结果详见下表（《土地估价结果一览表》）</w:t>
      </w:r>
      <w:r>
        <w:rPr>
          <w:rFonts w:hint="eastAsia" w:eastAsia="仿宋_GB2312" w:cs="Times New Roman"/>
          <w:sz w:val="28"/>
          <w:szCs w:val="28"/>
          <w:lang w:eastAsia="zh-CN"/>
        </w:rPr>
        <w:t>，</w:t>
      </w:r>
      <w:r>
        <w:rPr>
          <w:rFonts w:hint="eastAsia" w:eastAsia="仿宋_GB2312" w:cs="Times New Roman"/>
          <w:sz w:val="28"/>
          <w:lang w:val="en-US" w:eastAsia="zh-CN"/>
        </w:rPr>
        <w:t>经金东台分公司办公会议纪要明确，同意加收承包费用290元/亩（取代饲料经营费用）。</w:t>
      </w:r>
    </w:p>
    <w:p>
      <w:pPr>
        <w:tabs>
          <w:tab w:val="left" w:pos="1920"/>
        </w:tabs>
        <w:adjustRightInd w:val="0"/>
        <w:snapToGrid w:val="0"/>
        <w:spacing w:line="460" w:lineRule="exact"/>
        <w:ind w:firstLine="627" w:firstLineChars="224"/>
        <w:outlineLvl w:val="0"/>
        <w:rPr>
          <w:rFonts w:hint="default" w:ascii="Times New Roman" w:hAnsi="Times New Roman" w:eastAsia="仿宋_GB2312" w:cs="Times New Roman"/>
          <w:sz w:val="28"/>
        </w:rPr>
      </w:pPr>
    </w:p>
    <w:p>
      <w:pPr>
        <w:adjustRightInd w:val="0"/>
        <w:snapToGrid w:val="0"/>
        <w:spacing w:line="500" w:lineRule="exact"/>
        <w:ind w:firstLine="627" w:firstLineChars="224"/>
        <w:rPr>
          <w:rFonts w:hint="default" w:ascii="Times New Roman" w:hAnsi="Times New Roman" w:eastAsia="仿宋_GB2312" w:cs="Times New Roman"/>
          <w:kern w:val="0"/>
          <w:sz w:val="28"/>
          <w:szCs w:val="32"/>
        </w:rPr>
        <w:sectPr>
          <w:footerReference r:id="rId7" w:type="first"/>
          <w:footerReference r:id="rId6" w:type="default"/>
          <w:pgSz w:w="11906" w:h="16838"/>
          <w:pgMar w:top="1440" w:right="1196" w:bottom="1440" w:left="1470" w:header="851" w:footer="992" w:gutter="0"/>
          <w:pgNumType w:fmt="decimal" w:start="1"/>
          <w:cols w:space="720" w:num="1"/>
          <w:docGrid w:linePitch="312" w:charSpace="0"/>
        </w:sectPr>
      </w:pPr>
    </w:p>
    <w:p>
      <w:pPr>
        <w:widowControl/>
        <w:autoSpaceDE w:val="0"/>
        <w:autoSpaceDN w:val="0"/>
        <w:adjustRightInd w:val="0"/>
        <w:snapToGrid w:val="0"/>
        <w:spacing w:line="360" w:lineRule="auto"/>
        <w:ind w:right="97" w:rightChars="46"/>
        <w:jc w:val="center"/>
        <w:textAlignment w:val="bottom"/>
        <w:rPr>
          <w:rFonts w:hint="default" w:ascii="Times New Roman" w:hAnsi="Times New Roman" w:eastAsia="仿宋_GB2312" w:cs="Times New Roman"/>
          <w:b/>
          <w:kern w:val="0"/>
          <w:sz w:val="30"/>
          <w:szCs w:val="20"/>
        </w:rPr>
      </w:pPr>
      <w:r>
        <w:rPr>
          <w:rFonts w:hint="default" w:ascii="Times New Roman" w:hAnsi="Times New Roman" w:eastAsia="仿宋_GB2312" w:cs="Times New Roman"/>
          <w:b/>
          <w:sz w:val="30"/>
        </w:rPr>
        <w:t>土地估价结果一览表</w:t>
      </w:r>
    </w:p>
    <w:p>
      <w:pPr>
        <w:widowControl/>
        <w:autoSpaceDE w:val="0"/>
        <w:autoSpaceDN w:val="0"/>
        <w:spacing w:line="400" w:lineRule="exact"/>
        <w:textAlignment w:val="bottom"/>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估价机构：江苏拓普森房地产资产评估规划测绘有限公司                                                   估价报告编号：（苏）拓普森（2024）（技）字第NJ009号</w:t>
      </w:r>
    </w:p>
    <w:p>
      <w:pPr>
        <w:widowControl/>
        <w:autoSpaceDE w:val="0"/>
        <w:autoSpaceDN w:val="0"/>
        <w:spacing w:line="400" w:lineRule="exact"/>
        <w:textAlignment w:val="bottom"/>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 xml:space="preserve">估价期日：2023年12月31日  </w:t>
      </w:r>
      <w:r>
        <w:rPr>
          <w:rFonts w:hint="default" w:ascii="Times New Roman" w:hAnsi="Times New Roman" w:eastAsia="仿宋_GB2312" w:cs="Times New Roman"/>
          <w:spacing w:val="-6"/>
          <w:szCs w:val="21"/>
        </w:rPr>
        <w:t xml:space="preserve">                估价目的：为委托方确定土地使用权发包底价提供参考依据        </w:t>
      </w:r>
      <w:r>
        <w:rPr>
          <w:rFonts w:hint="default" w:ascii="Times New Roman" w:hAnsi="Times New Roman" w:eastAsia="仿宋_GB2312" w:cs="Times New Roman"/>
          <w:spacing w:val="-10"/>
          <w:szCs w:val="21"/>
        </w:rPr>
        <w:t>土地使用权性质：国有划拨农用地使用权</w:t>
      </w:r>
    </w:p>
    <w:tbl>
      <w:tblPr>
        <w:tblStyle w:val="21"/>
        <w:tblpPr w:leftFromText="180" w:rightFromText="180" w:vertAnchor="text" w:horzAnchor="margin" w:tblpXSpec="center" w:tblpY="80"/>
        <w:tblW w:w="14190" w:type="dxa"/>
        <w:tblInd w:w="0" w:type="dxa"/>
        <w:tblLayout w:type="fixed"/>
        <w:tblCellMar>
          <w:top w:w="0" w:type="dxa"/>
          <w:left w:w="0" w:type="dxa"/>
          <w:bottom w:w="0" w:type="dxa"/>
          <w:right w:w="0" w:type="dxa"/>
        </w:tblCellMar>
      </w:tblPr>
      <w:tblGrid>
        <w:gridCol w:w="440"/>
        <w:gridCol w:w="950"/>
        <w:gridCol w:w="1003"/>
        <w:gridCol w:w="825"/>
        <w:gridCol w:w="928"/>
        <w:gridCol w:w="900"/>
        <w:gridCol w:w="994"/>
        <w:gridCol w:w="1847"/>
        <w:gridCol w:w="1806"/>
        <w:gridCol w:w="641"/>
        <w:gridCol w:w="750"/>
        <w:gridCol w:w="697"/>
        <w:gridCol w:w="850"/>
        <w:gridCol w:w="567"/>
        <w:gridCol w:w="992"/>
      </w:tblGrid>
      <w:tr>
        <w:tblPrEx>
          <w:tblCellMar>
            <w:top w:w="0" w:type="dxa"/>
            <w:left w:w="0" w:type="dxa"/>
            <w:bottom w:w="0" w:type="dxa"/>
            <w:right w:w="0"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序号</w:t>
            </w:r>
          </w:p>
        </w:tc>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估价期日的土地使用者</w:t>
            </w:r>
          </w:p>
        </w:tc>
        <w:tc>
          <w:tcPr>
            <w:tcW w:w="10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土地使用证/不动产权证书证号</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宗地位置</w:t>
            </w: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估价期日的登记用途</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估价期日的实际用途</w:t>
            </w:r>
          </w:p>
        </w:tc>
        <w:tc>
          <w:tcPr>
            <w:tcW w:w="9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估价设定用途</w:t>
            </w:r>
          </w:p>
        </w:tc>
        <w:tc>
          <w:tcPr>
            <w:tcW w:w="18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估价期日的实际土地开发程度</w:t>
            </w:r>
          </w:p>
        </w:tc>
        <w:tc>
          <w:tcPr>
            <w:tcW w:w="18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估价设定的土地开发程度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使用权类型</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登记面积（亩）</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评估土地面积(亩)</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平均年租金(元/亩)</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总价（万）</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kern w:val="0"/>
                <w:sz w:val="18"/>
                <w:szCs w:val="18"/>
                <w:lang w:bidi="ar"/>
              </w:rPr>
              <w:t>备注</w:t>
            </w:r>
          </w:p>
        </w:tc>
      </w:tr>
      <w:tr>
        <w:tblPrEx>
          <w:tblCellMar>
            <w:top w:w="0" w:type="dxa"/>
            <w:left w:w="0" w:type="dxa"/>
            <w:bottom w:w="0" w:type="dxa"/>
            <w:right w:w="0" w:type="dxa"/>
          </w:tblCellMar>
        </w:tblPrEx>
        <w:trPr>
          <w:trHeight w:val="998"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1</w:t>
            </w:r>
          </w:p>
        </w:tc>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ascii="Times New Roman" w:hAnsi="Times New Roman" w:eastAsia="仿宋_GB2312" w:cs="Times New Roman"/>
                <w:spacing w:val="-10"/>
                <w:sz w:val="18"/>
                <w:szCs w:val="18"/>
                <w:lang w:eastAsia="zh-CN"/>
              </w:rPr>
            </w:pPr>
            <w:r>
              <w:rPr>
                <w:rFonts w:hint="eastAsia" w:eastAsia="仿宋_GB2312" w:cs="Times New Roman"/>
                <w:spacing w:val="-10"/>
                <w:sz w:val="18"/>
                <w:szCs w:val="18"/>
                <w:lang w:eastAsia="zh-CN"/>
              </w:rPr>
              <w:t>东台市金东台分公司</w:t>
            </w:r>
          </w:p>
        </w:tc>
        <w:tc>
          <w:tcPr>
            <w:tcW w:w="10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东国用（1999）字第270004号</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东台河闸南首</w:t>
            </w: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农用地（坑塘水面）</w:t>
            </w:r>
          </w:p>
        </w:tc>
        <w:tc>
          <w:tcPr>
            <w:tcW w:w="9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农用地（坑塘水面）</w:t>
            </w:r>
          </w:p>
        </w:tc>
        <w:tc>
          <w:tcPr>
            <w:tcW w:w="18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宗地红线内外通路、通电、通沟渠泵站灌排水及土地平整的开发程度</w:t>
            </w:r>
          </w:p>
        </w:tc>
        <w:tc>
          <w:tcPr>
            <w:tcW w:w="18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4173.15</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lang w:val="en-US" w:eastAsia="zh-CN"/>
              </w:rPr>
            </w:pPr>
            <w:r>
              <w:rPr>
                <w:rFonts w:hint="default" w:ascii="Times New Roman" w:hAnsi="Times New Roman" w:eastAsia="仿宋_GB2312" w:cs="Times New Roman"/>
                <w:spacing w:val="-10"/>
                <w:sz w:val="18"/>
                <w:szCs w:val="18"/>
                <w:lang w:val="en-US" w:eastAsia="zh-CN"/>
              </w:rPr>
              <w:t>880</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lang w:val="en-US" w:eastAsia="zh-CN"/>
              </w:rPr>
            </w:pPr>
            <w:r>
              <w:rPr>
                <w:rFonts w:hint="eastAsia" w:eastAsia="仿宋_GB2312" w:cs="Times New Roman"/>
                <w:spacing w:val="-10"/>
                <w:sz w:val="18"/>
                <w:szCs w:val="18"/>
                <w:lang w:val="en-US" w:eastAsia="zh-CN"/>
              </w:rPr>
              <w:t>299.98</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kern w:val="0"/>
                <w:sz w:val="18"/>
                <w:szCs w:val="18"/>
                <w:lang w:bidi="ar"/>
              </w:rPr>
              <w:t>淡水养殖</w:t>
            </w:r>
          </w:p>
        </w:tc>
      </w:tr>
      <w:tr>
        <w:tblPrEx>
          <w:tblCellMar>
            <w:top w:w="0" w:type="dxa"/>
            <w:left w:w="0" w:type="dxa"/>
            <w:bottom w:w="0" w:type="dxa"/>
            <w:right w:w="0" w:type="dxa"/>
          </w:tblCellMar>
        </w:tblPrEx>
        <w:trPr>
          <w:trHeight w:val="927"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2</w:t>
            </w:r>
          </w:p>
        </w:tc>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ascii="Times New Roman" w:hAnsi="Times New Roman" w:eastAsia="仿宋_GB2312" w:cs="Times New Roman"/>
                <w:spacing w:val="-10"/>
                <w:sz w:val="18"/>
                <w:szCs w:val="18"/>
                <w:lang w:eastAsia="zh-CN"/>
              </w:rPr>
            </w:pPr>
            <w:r>
              <w:rPr>
                <w:rFonts w:hint="eastAsia" w:eastAsia="仿宋_GB2312" w:cs="Times New Roman"/>
                <w:spacing w:val="-10"/>
                <w:sz w:val="18"/>
                <w:szCs w:val="18"/>
                <w:lang w:eastAsia="zh-CN"/>
              </w:rPr>
              <w:t>东台市金东台分公司</w:t>
            </w:r>
          </w:p>
        </w:tc>
        <w:tc>
          <w:tcPr>
            <w:tcW w:w="10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东国用（1999）字第270004号</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东台河闸南首</w:t>
            </w: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农用地（林地）</w:t>
            </w:r>
          </w:p>
        </w:tc>
        <w:tc>
          <w:tcPr>
            <w:tcW w:w="9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农用地（林地）</w:t>
            </w:r>
          </w:p>
        </w:tc>
        <w:tc>
          <w:tcPr>
            <w:tcW w:w="18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宗地红线内外通路、通电、通沟渠泵站灌排水及土地平整的开发程度</w:t>
            </w:r>
          </w:p>
        </w:tc>
        <w:tc>
          <w:tcPr>
            <w:tcW w:w="18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659.52</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lang w:val="en-US" w:eastAsia="zh-CN"/>
              </w:rPr>
            </w:pPr>
            <w:r>
              <w:rPr>
                <w:rFonts w:hint="default" w:ascii="Times New Roman" w:hAnsi="Times New Roman" w:eastAsia="仿宋_GB2312" w:cs="Times New Roman"/>
                <w:spacing w:val="-10"/>
                <w:sz w:val="18"/>
                <w:szCs w:val="18"/>
                <w:lang w:val="en-US" w:eastAsia="zh-CN"/>
              </w:rPr>
              <w:t>360</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lang w:val="en-US" w:eastAsia="zh-CN"/>
              </w:rPr>
            </w:pPr>
            <w:r>
              <w:rPr>
                <w:rFonts w:hint="default" w:ascii="Times New Roman" w:hAnsi="Times New Roman" w:eastAsia="仿宋_GB2312" w:cs="Times New Roman"/>
                <w:spacing w:val="-10"/>
                <w:sz w:val="18"/>
                <w:szCs w:val="18"/>
                <w:lang w:val="en-US" w:eastAsia="zh-CN"/>
              </w:rPr>
              <w:t>18.03</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kern w:val="0"/>
                <w:sz w:val="18"/>
                <w:szCs w:val="18"/>
                <w:lang w:bidi="ar"/>
              </w:rPr>
              <w:t>林地</w:t>
            </w:r>
          </w:p>
        </w:tc>
      </w:tr>
      <w:tr>
        <w:tblPrEx>
          <w:tblCellMar>
            <w:top w:w="0" w:type="dxa"/>
            <w:left w:w="0" w:type="dxa"/>
            <w:bottom w:w="0" w:type="dxa"/>
            <w:right w:w="0" w:type="dxa"/>
          </w:tblCellMar>
        </w:tblPrEx>
        <w:trPr>
          <w:trHeight w:val="385" w:hRule="atLeast"/>
        </w:trPr>
        <w:tc>
          <w:tcPr>
            <w:tcW w:w="11084" w:type="dxa"/>
            <w:gridSpan w:val="11"/>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合 计</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r>
              <w:rPr>
                <w:rFonts w:hint="default" w:ascii="Times New Roman" w:hAnsi="Times New Roman" w:eastAsia="仿宋_GB2312" w:cs="Times New Roman"/>
                <w:spacing w:val="-10"/>
                <w:sz w:val="18"/>
                <w:szCs w:val="18"/>
              </w:rPr>
              <w:t>4832.77</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spacing w:val="-10"/>
                <w:sz w:val="18"/>
                <w:szCs w:val="18"/>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eastAsia="仿宋" w:cs="Times New Roman"/>
                <w:color w:val="000000"/>
                <w:sz w:val="18"/>
                <w:szCs w:val="18"/>
              </w:rPr>
            </w:pPr>
          </w:p>
        </w:tc>
      </w:tr>
    </w:tbl>
    <w:p>
      <w:pPr>
        <w:widowControl/>
        <w:autoSpaceDE w:val="0"/>
        <w:autoSpaceDN w:val="0"/>
        <w:spacing w:line="240" w:lineRule="exact"/>
        <w:textAlignment w:val="bottom"/>
        <w:rPr>
          <w:rFonts w:hint="default" w:ascii="Times New Roman" w:hAnsi="Times New Roman" w:eastAsia="仿宋_GB2312" w:cs="Times New Roman"/>
          <w:spacing w:val="-10"/>
          <w:szCs w:val="21"/>
        </w:rPr>
      </w:pPr>
    </w:p>
    <w:p>
      <w:pPr>
        <w:topLinePunct/>
        <w:autoSpaceDE w:val="0"/>
        <w:autoSpaceDN w:val="0"/>
        <w:spacing w:line="320" w:lineRule="exact"/>
        <w:rPr>
          <w:rFonts w:hint="default" w:ascii="Times New Roman" w:hAnsi="Times New Roman" w:eastAsia="仿宋_GB2312" w:cs="Times New Roman"/>
          <w:bCs/>
          <w:kern w:val="18"/>
          <w:szCs w:val="21"/>
        </w:rPr>
      </w:pPr>
      <w:r>
        <w:rPr>
          <w:rFonts w:hint="default" w:ascii="Times New Roman" w:hAnsi="Times New Roman" w:eastAsia="仿宋_GB2312" w:cs="Times New Roman"/>
          <w:bCs/>
          <w:kern w:val="18"/>
          <w:szCs w:val="21"/>
        </w:rPr>
        <w:t>一、上述土地估价结果的限定条件</w:t>
      </w:r>
    </w:p>
    <w:p>
      <w:pPr>
        <w:pStyle w:val="51"/>
        <w:widowControl/>
        <w:autoSpaceDE w:val="0"/>
        <w:autoSpaceDN w:val="0"/>
        <w:spacing w:line="320" w:lineRule="exact"/>
        <w:ind w:left="90" w:leftChars="43" w:firstLine="315" w:firstLineChars="150"/>
        <w:textAlignment w:val="bottom"/>
        <w:rPr>
          <w:rFonts w:hint="default" w:ascii="Times New Roman" w:hAnsi="Times New Roman" w:eastAsia="仿宋_GB2312" w:cs="Times New Roman"/>
          <w:szCs w:val="21"/>
        </w:rPr>
      </w:pPr>
      <w:r>
        <w:rPr>
          <w:rFonts w:hint="default" w:ascii="Times New Roman" w:hAnsi="Times New Roman" w:eastAsia="仿宋_GB2312" w:cs="Times New Roman"/>
          <w:szCs w:val="21"/>
        </w:rPr>
        <w:t>1、土地权利限制：在估价期日二○二三年十二月三十一日，估价对象不考虑抵押、担保等他项权利的设定。</w:t>
      </w:r>
    </w:p>
    <w:p>
      <w:pPr>
        <w:pStyle w:val="51"/>
        <w:widowControl/>
        <w:autoSpaceDE w:val="0"/>
        <w:autoSpaceDN w:val="0"/>
        <w:spacing w:line="320" w:lineRule="exact"/>
        <w:ind w:left="90" w:leftChars="43" w:firstLine="315" w:firstLineChars="150"/>
        <w:textAlignment w:val="bottom"/>
        <w:rPr>
          <w:rFonts w:hint="default" w:ascii="Times New Roman" w:hAnsi="Times New Roman" w:eastAsia="仿宋_GB2312" w:cs="Times New Roman"/>
          <w:szCs w:val="21"/>
        </w:rPr>
      </w:pPr>
      <w:r>
        <w:rPr>
          <w:rFonts w:hint="default" w:ascii="Times New Roman" w:hAnsi="Times New Roman" w:eastAsia="仿宋_GB2312" w:cs="Times New Roman"/>
          <w:szCs w:val="21"/>
        </w:rPr>
        <w:t>2、基础设施条件：至估价期日二○二三年十二月三十一日，估价对象实际开发水平为宗地红线外通路、通电、通沟渠泵站灌排水、具备养殖、种植用地相应的土地平均整开发水平。</w:t>
      </w:r>
    </w:p>
    <w:p>
      <w:pPr>
        <w:pStyle w:val="51"/>
        <w:widowControl/>
        <w:autoSpaceDE w:val="0"/>
        <w:autoSpaceDN w:val="0"/>
        <w:spacing w:line="320" w:lineRule="exact"/>
        <w:ind w:left="90" w:leftChars="43" w:firstLine="315" w:firstLineChars="150"/>
        <w:textAlignment w:val="bottom"/>
        <w:rPr>
          <w:rFonts w:hint="default" w:ascii="Times New Roman" w:hAnsi="Times New Roman" w:eastAsia="仿宋_GB2312" w:cs="Times New Roman"/>
          <w:szCs w:val="21"/>
        </w:rPr>
      </w:pPr>
      <w:r>
        <w:rPr>
          <w:rFonts w:hint="default" w:ascii="Times New Roman" w:hAnsi="Times New Roman" w:eastAsia="仿宋_GB2312" w:cs="Times New Roman"/>
          <w:szCs w:val="21"/>
        </w:rPr>
        <w:t>3、规划限制条件：现状利用条件不变。</w:t>
      </w:r>
    </w:p>
    <w:p>
      <w:pPr>
        <w:pStyle w:val="51"/>
        <w:widowControl/>
        <w:autoSpaceDE w:val="0"/>
        <w:autoSpaceDN w:val="0"/>
        <w:spacing w:line="320" w:lineRule="exact"/>
        <w:ind w:left="90" w:leftChars="43" w:firstLine="315" w:firstLineChars="150"/>
        <w:textAlignment w:val="bottom"/>
        <w:rPr>
          <w:rFonts w:hint="default" w:ascii="Times New Roman" w:hAnsi="Times New Roman" w:eastAsia="仿宋_GB2312" w:cs="Times New Roman"/>
          <w:szCs w:val="21"/>
        </w:rPr>
      </w:pPr>
      <w:r>
        <w:rPr>
          <w:rFonts w:hint="default" w:ascii="Times New Roman" w:hAnsi="Times New Roman" w:eastAsia="仿宋_GB2312" w:cs="Times New Roman"/>
          <w:szCs w:val="21"/>
        </w:rPr>
        <w:t>4、影响土地价格的其他限定条件：改变土地租赁条件等都将影响估价结果。</w:t>
      </w:r>
    </w:p>
    <w:p>
      <w:pPr>
        <w:pStyle w:val="51"/>
        <w:widowControl/>
        <w:autoSpaceDE w:val="0"/>
        <w:autoSpaceDN w:val="0"/>
        <w:spacing w:line="320" w:lineRule="exact"/>
        <w:ind w:left="90" w:leftChars="43" w:firstLine="315" w:firstLineChars="150"/>
        <w:textAlignment w:val="bottom"/>
        <w:rPr>
          <w:rFonts w:hint="default" w:ascii="Times New Roman" w:hAnsi="Times New Roman" w:eastAsia="仿宋_GB2312" w:cs="Times New Roman"/>
          <w:szCs w:val="21"/>
        </w:rPr>
      </w:pPr>
      <w:r>
        <w:rPr>
          <w:rFonts w:hint="default" w:ascii="Times New Roman" w:hAnsi="Times New Roman" w:eastAsia="仿宋_GB2312" w:cs="Times New Roman"/>
          <w:szCs w:val="21"/>
        </w:rPr>
        <w:t>5、本次评估结果的假设前提是：设定土地用途为国有划拨农用地（坑塘水面）、（林地），设定使用年期为1年的市场年租金价值。</w:t>
      </w:r>
    </w:p>
    <w:p>
      <w:pPr>
        <w:topLinePunct/>
        <w:autoSpaceDE w:val="0"/>
        <w:autoSpaceDN w:val="0"/>
        <w:spacing w:line="320" w:lineRule="exact"/>
        <w:rPr>
          <w:rFonts w:hint="default" w:ascii="Times New Roman" w:hAnsi="Times New Roman" w:eastAsia="仿宋_GB2312" w:cs="Times New Roman"/>
          <w:bCs/>
          <w:kern w:val="18"/>
          <w:szCs w:val="21"/>
        </w:rPr>
      </w:pPr>
      <w:r>
        <w:rPr>
          <w:rFonts w:hint="default" w:ascii="Times New Roman" w:hAnsi="Times New Roman" w:eastAsia="仿宋_GB2312" w:cs="Times New Roman"/>
          <w:bCs/>
          <w:kern w:val="18"/>
          <w:szCs w:val="21"/>
        </w:rPr>
        <w:t>二、其他需要说明的事项</w:t>
      </w:r>
    </w:p>
    <w:p>
      <w:pPr>
        <w:topLinePunct/>
        <w:autoSpaceDE w:val="0"/>
        <w:autoSpaceDN w:val="0"/>
        <w:spacing w:line="320" w:lineRule="exact"/>
        <w:ind w:firstLine="420" w:firstLineChars="200"/>
        <w:rPr>
          <w:rFonts w:hint="default" w:ascii="Times New Roman" w:hAnsi="Times New Roman" w:eastAsia="仿宋_GB2312" w:cs="Times New Roman"/>
          <w:kern w:val="18"/>
          <w:szCs w:val="21"/>
        </w:rPr>
      </w:pPr>
      <w:r>
        <w:rPr>
          <w:rFonts w:hint="default" w:ascii="Times New Roman" w:hAnsi="Times New Roman" w:eastAsia="仿宋_GB2312" w:cs="Times New Roman"/>
          <w:kern w:val="18"/>
          <w:szCs w:val="21"/>
        </w:rPr>
        <w:t>1、估价对象面积以委托方提供的“委托评估协议”及附件“</w:t>
      </w:r>
      <w:r>
        <w:rPr>
          <w:rFonts w:hint="eastAsia" w:eastAsia="仿宋_GB2312" w:cs="Times New Roman"/>
          <w:kern w:val="18"/>
          <w:szCs w:val="21"/>
          <w:lang w:eastAsia="zh-CN"/>
        </w:rPr>
        <w:t>2024年金东台分公司承包统计表</w:t>
      </w:r>
      <w:r>
        <w:rPr>
          <w:rFonts w:hint="default" w:ascii="Times New Roman" w:hAnsi="Times New Roman" w:eastAsia="仿宋_GB2312" w:cs="Times New Roman"/>
          <w:kern w:val="18"/>
          <w:szCs w:val="21"/>
        </w:rPr>
        <w:t>”</w:t>
      </w:r>
      <w:r>
        <w:rPr>
          <w:rFonts w:hint="default" w:ascii="Times New Roman" w:hAnsi="Times New Roman" w:eastAsia="仿宋_GB2312" w:cs="Times New Roman"/>
          <w:spacing w:val="10"/>
          <w:szCs w:val="21"/>
        </w:rPr>
        <w:t>为</w:t>
      </w:r>
      <w:r>
        <w:rPr>
          <w:rFonts w:hint="default" w:ascii="Times New Roman" w:hAnsi="Times New Roman" w:eastAsia="仿宋_GB2312" w:cs="Times New Roman"/>
          <w:kern w:val="18"/>
          <w:szCs w:val="21"/>
        </w:rPr>
        <w:t>依据。</w:t>
      </w:r>
    </w:p>
    <w:p>
      <w:pPr>
        <w:topLinePunct/>
        <w:autoSpaceDE w:val="0"/>
        <w:autoSpaceDN w:val="0"/>
        <w:spacing w:line="320" w:lineRule="exact"/>
        <w:ind w:firstLine="420" w:firstLineChars="200"/>
        <w:rPr>
          <w:rFonts w:hint="default" w:ascii="Times New Roman" w:hAnsi="Times New Roman" w:eastAsia="仿宋_GB2312" w:cs="Times New Roman"/>
          <w:kern w:val="18"/>
          <w:szCs w:val="21"/>
        </w:rPr>
      </w:pPr>
      <w:r>
        <w:rPr>
          <w:rFonts w:hint="default" w:ascii="Times New Roman" w:hAnsi="Times New Roman" w:eastAsia="仿宋_GB2312" w:cs="Times New Roman"/>
          <w:kern w:val="18"/>
          <w:szCs w:val="21"/>
        </w:rPr>
        <w:t>2、</w:t>
      </w:r>
      <w:r>
        <w:rPr>
          <w:rFonts w:hint="default" w:ascii="Times New Roman" w:hAnsi="Times New Roman" w:eastAsia="仿宋_GB2312" w:cs="Times New Roman"/>
          <w:spacing w:val="6"/>
          <w:szCs w:val="21"/>
        </w:rPr>
        <w:t>本评估报告仅</w:t>
      </w:r>
      <w:r>
        <w:rPr>
          <w:rFonts w:hint="default" w:ascii="Times New Roman" w:hAnsi="Times New Roman" w:eastAsia="仿宋_GB2312" w:cs="Times New Roman"/>
          <w:szCs w:val="21"/>
        </w:rPr>
        <w:t>为委托方确定土地使用权发包底价提供参考依据，不能作为他用。</w:t>
      </w:r>
    </w:p>
    <w:p>
      <w:pPr>
        <w:topLinePunct/>
        <w:autoSpaceDE w:val="0"/>
        <w:autoSpaceDN w:val="0"/>
        <w:spacing w:line="320" w:lineRule="exact"/>
        <w:ind w:firstLine="420" w:firstLineChars="200"/>
        <w:rPr>
          <w:rFonts w:hint="default" w:ascii="Times New Roman" w:hAnsi="Times New Roman" w:eastAsia="仿宋_GB2312" w:cs="Times New Roman"/>
          <w:kern w:val="18"/>
          <w:szCs w:val="21"/>
        </w:rPr>
      </w:pPr>
      <w:r>
        <w:rPr>
          <w:rFonts w:hint="default" w:ascii="Times New Roman" w:hAnsi="Times New Roman" w:eastAsia="仿宋_GB2312" w:cs="Times New Roman"/>
          <w:kern w:val="18"/>
          <w:szCs w:val="21"/>
        </w:rPr>
        <w:t>3、评估报告自提交报告之日起一年内有效。</w:t>
      </w:r>
    </w:p>
    <w:p>
      <w:pPr>
        <w:adjustRightInd w:val="0"/>
        <w:snapToGrid w:val="0"/>
        <w:ind w:firstLine="8645" w:firstLineChars="4117"/>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估价机构：江苏拓普森房地产资产评估规划测绘有限公司 </w:t>
      </w:r>
    </w:p>
    <w:p>
      <w:pPr>
        <w:wordWrap w:val="0"/>
        <w:spacing w:line="240" w:lineRule="exact"/>
        <w:ind w:left="85" w:firstLine="9181" w:firstLineChars="4372"/>
        <w:jc w:val="right"/>
        <w:rPr>
          <w:rFonts w:hint="default" w:ascii="Times New Roman" w:hAnsi="Times New Roman" w:eastAsia="仿宋_GB2312" w:cs="Times New Roman"/>
          <w:szCs w:val="21"/>
        </w:rPr>
      </w:pPr>
    </w:p>
    <w:p>
      <w:pPr>
        <w:spacing w:line="240" w:lineRule="exact"/>
        <w:ind w:left="85" w:firstLine="9181" w:firstLineChars="4372"/>
        <w:jc w:val="center"/>
        <w:rPr>
          <w:rFonts w:hint="default" w:ascii="Times New Roman" w:hAnsi="Times New Roman" w:eastAsia="仿宋_GB2312" w:cs="Times New Roman"/>
          <w:szCs w:val="21"/>
        </w:rPr>
        <w:sectPr>
          <w:type w:val="continuous"/>
          <w:pgSz w:w="16838" w:h="11906" w:orient="landscape"/>
          <w:pgMar w:top="851" w:right="1418" w:bottom="851" w:left="1418" w:header="851" w:footer="992" w:gutter="0"/>
          <w:pgNumType w:fmt="decimal"/>
          <w:cols w:space="720" w:num="1"/>
          <w:docGrid w:linePitch="312" w:charSpace="0"/>
        </w:sectPr>
      </w:pPr>
      <w:r>
        <w:rPr>
          <w:rFonts w:hint="default" w:ascii="Times New Roman" w:hAnsi="Times New Roman" w:eastAsia="仿宋_GB2312" w:cs="Times New Roman"/>
          <w:szCs w:val="21"/>
        </w:rPr>
        <w:t>二○二四年一月五</w:t>
      </w:r>
    </w:p>
    <w:p>
      <w:pPr>
        <w:spacing w:line="240" w:lineRule="exact"/>
        <w:jc w:val="both"/>
        <w:rPr>
          <w:rFonts w:hint="default" w:ascii="Times New Roman" w:hAnsi="Times New Roman" w:eastAsia="仿宋_GB2312" w:cs="Times New Roman"/>
          <w:szCs w:val="21"/>
        </w:rPr>
        <w:sectPr>
          <w:type w:val="continuous"/>
          <w:pgSz w:w="16838" w:h="11906" w:orient="landscape"/>
          <w:pgMar w:top="851" w:right="1418" w:bottom="851" w:left="1418" w:header="851" w:footer="992" w:gutter="0"/>
          <w:pgNumType w:fmt="decimal"/>
          <w:cols w:space="720" w:num="1"/>
          <w:docGrid w:linePitch="312" w:charSpace="0"/>
        </w:sectPr>
      </w:pPr>
    </w:p>
    <w:p>
      <w:pPr>
        <w:spacing w:line="240" w:lineRule="exact"/>
        <w:ind w:left="85" w:firstLine="9181" w:firstLineChars="4372"/>
        <w:jc w:val="center"/>
        <w:rPr>
          <w:rFonts w:hint="default" w:ascii="Times New Roman" w:hAnsi="Times New Roman" w:eastAsia="仿宋_GB2312" w:cs="Times New Roman"/>
          <w:szCs w:val="21"/>
        </w:rPr>
      </w:pPr>
    </w:p>
    <w:tbl>
      <w:tblPr>
        <w:tblStyle w:val="21"/>
        <w:tblW w:w="5000" w:type="pct"/>
        <w:tblInd w:w="0" w:type="dxa"/>
        <w:tblLayout w:type="autofit"/>
        <w:tblCellMar>
          <w:top w:w="0" w:type="dxa"/>
          <w:left w:w="108" w:type="dxa"/>
          <w:bottom w:w="0" w:type="dxa"/>
          <w:right w:w="108" w:type="dxa"/>
        </w:tblCellMar>
      </w:tblPr>
      <w:tblGrid>
        <w:gridCol w:w="1390"/>
        <w:gridCol w:w="1394"/>
        <w:gridCol w:w="1837"/>
        <w:gridCol w:w="1391"/>
        <w:gridCol w:w="1317"/>
        <w:gridCol w:w="1630"/>
        <w:gridCol w:w="1203"/>
        <w:gridCol w:w="1391"/>
        <w:gridCol w:w="1391"/>
        <w:gridCol w:w="987"/>
        <w:gridCol w:w="287"/>
      </w:tblGrid>
      <w:tr>
        <w:tblPrEx>
          <w:tblCellMar>
            <w:top w:w="0" w:type="dxa"/>
            <w:left w:w="108" w:type="dxa"/>
            <w:bottom w:w="0" w:type="dxa"/>
            <w:right w:w="108" w:type="dxa"/>
          </w:tblCellMar>
        </w:tblPrEx>
        <w:trPr>
          <w:gridAfter w:val="1"/>
          <w:wAfter w:w="101" w:type="pct"/>
          <w:trHeight w:val="113" w:hRule="atLeast"/>
        </w:trPr>
        <w:tc>
          <w:tcPr>
            <w:tcW w:w="4898" w:type="pct"/>
            <w:gridSpan w:val="10"/>
            <w:tcBorders>
              <w:top w:val="nil"/>
              <w:left w:val="nil"/>
              <w:bottom w:val="single" w:color="auto" w:sz="4" w:space="0"/>
              <w:right w:val="nil"/>
            </w:tcBorders>
            <w:shd w:val="clear" w:color="auto" w:fill="auto"/>
            <w:noWrap/>
            <w:vAlign w:val="bottom"/>
          </w:tcPr>
          <w:p>
            <w:pPr>
              <w:widowControl/>
              <w:jc w:val="center"/>
              <w:rPr>
                <w:rFonts w:hint="default" w:ascii="Times New Roman" w:hAnsi="Times New Roman" w:eastAsia="仿宋_GB2312" w:cs="Times New Roman"/>
                <w:b/>
                <w:bCs/>
                <w:color w:val="000000"/>
                <w:kern w:val="0"/>
                <w:sz w:val="30"/>
                <w:szCs w:val="30"/>
              </w:rPr>
            </w:pPr>
            <w:r>
              <w:rPr>
                <w:rFonts w:hint="default" w:ascii="Times New Roman" w:hAnsi="Times New Roman" w:eastAsia="仿宋_GB2312" w:cs="Times New Roman"/>
                <w:b/>
                <w:bCs/>
                <w:color w:val="000000"/>
                <w:kern w:val="0"/>
                <w:sz w:val="30"/>
                <w:szCs w:val="30"/>
              </w:rPr>
              <w:t>估价对象（东台河闸南首）土地租金估价结果明细表（淡水养殖）</w:t>
            </w:r>
          </w:p>
        </w:tc>
      </w:tr>
      <w:tr>
        <w:tblPrEx>
          <w:tblCellMar>
            <w:top w:w="0" w:type="dxa"/>
            <w:left w:w="108" w:type="dxa"/>
            <w:bottom w:w="0" w:type="dxa"/>
            <w:right w:w="108" w:type="dxa"/>
          </w:tblCellMar>
        </w:tblPrEx>
        <w:trPr>
          <w:gridAfter w:val="1"/>
          <w:wAfter w:w="101" w:type="pct"/>
          <w:trHeight w:val="241" w:hRule="atLeast"/>
        </w:trPr>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序号</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区域</w:t>
            </w:r>
          </w:p>
        </w:tc>
        <w:tc>
          <w:tcPr>
            <w:tcW w:w="6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位置</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土地面积（亩）</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用地类别</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租赁起止日期</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租期</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年租金单价</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年租金总价</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备注</w:t>
            </w:r>
          </w:p>
        </w:tc>
      </w:tr>
      <w:tr>
        <w:tblPrEx>
          <w:tblCellMar>
            <w:top w:w="0" w:type="dxa"/>
            <w:left w:w="108" w:type="dxa"/>
            <w:bottom w:w="0" w:type="dxa"/>
            <w:right w:w="108" w:type="dxa"/>
          </w:tblCellMar>
        </w:tblPrEx>
        <w:trPr>
          <w:trHeight w:val="113" w:hRule="atLeast"/>
        </w:trPr>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6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Cs w:val="21"/>
              </w:rPr>
            </w:pPr>
          </w:p>
        </w:tc>
        <w:tc>
          <w:tcPr>
            <w:tcW w:w="101" w:type="pct"/>
            <w:tcBorders>
              <w:top w:val="nil"/>
              <w:left w:val="single" w:color="auto" w:sz="4" w:space="0"/>
              <w:bottom w:val="nil"/>
              <w:right w:val="nil"/>
            </w:tcBorders>
            <w:shd w:val="clear" w:color="auto" w:fill="auto"/>
            <w:noWrap/>
            <w:vAlign w:val="center"/>
          </w:tcPr>
          <w:p>
            <w:pPr>
              <w:widowControl/>
              <w:jc w:val="center"/>
              <w:rPr>
                <w:rFonts w:hint="default" w:ascii="Times New Roman" w:hAnsi="Times New Roman" w:eastAsia="仿宋" w:cs="Times New Roman"/>
                <w:b/>
                <w:bCs/>
                <w:color w:val="000000"/>
                <w:kern w:val="0"/>
                <w:szCs w:val="21"/>
              </w:rPr>
            </w:pPr>
          </w:p>
        </w:tc>
      </w:tr>
      <w:tr>
        <w:tblPrEx>
          <w:tblCellMar>
            <w:top w:w="0" w:type="dxa"/>
            <w:left w:w="108" w:type="dxa"/>
            <w:bottom w:w="0" w:type="dxa"/>
            <w:right w:w="108" w:type="dxa"/>
          </w:tblCellMar>
        </w:tblPrEx>
        <w:trPr>
          <w:trHeight w:val="113" w:hRule="atLeast"/>
        </w:trPr>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6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（元/亩）</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（万元）</w:t>
            </w:r>
          </w:p>
        </w:tc>
        <w:tc>
          <w:tcPr>
            <w:tcW w:w="3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Cs w:val="21"/>
              </w:rPr>
            </w:pP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25.96</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143</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13.08</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一区西 </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4-7号塘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249.18</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20.03</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8、9号鱼塘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140.57</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10号鱼塘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138.12</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12.64</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6</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11号至12号鱼塘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202.6</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18.15</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7</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13号塘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159.63</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8</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333</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29.84</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9</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110</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9.86</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253.58</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849</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21.53</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11</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1号、5-8号鱼塘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450.24</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29.49</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12</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2号、9号鱼塘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565.82</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36.67</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13</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263.86</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14</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258.79</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16.95</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15</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六区东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198.79</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10.69</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16</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329.05</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17</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6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3号、4号鱼塘</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350.96</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淡水养殖</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2024.03.01至2025.02.28</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18.88</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13" w:hRule="atLeast"/>
        </w:trPr>
        <w:tc>
          <w:tcPr>
            <w:tcW w:w="9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合计</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4173.15</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299.98</w:t>
            </w:r>
          </w:p>
        </w:tc>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01" w:type="pct"/>
            <w:tcBorders>
              <w:left w:val="single" w:color="auto" w:sz="4" w:space="0"/>
            </w:tcBorders>
            <w:vAlign w:val="center"/>
          </w:tcPr>
          <w:p>
            <w:pPr>
              <w:widowControl/>
              <w:jc w:val="left"/>
              <w:rPr>
                <w:rFonts w:hint="default" w:ascii="Times New Roman" w:hAnsi="Times New Roman" w:eastAsia="Times New Roman" w:cs="Times New Roman"/>
                <w:kern w:val="0"/>
                <w:sz w:val="20"/>
                <w:szCs w:val="20"/>
              </w:rPr>
            </w:pPr>
          </w:p>
        </w:tc>
      </w:tr>
    </w:tbl>
    <w:p>
      <w:pPr>
        <w:spacing w:line="240" w:lineRule="exact"/>
        <w:ind w:left="85" w:firstLine="9181" w:firstLineChars="4372"/>
        <w:jc w:val="center"/>
        <w:rPr>
          <w:rFonts w:hint="default" w:ascii="Times New Roman" w:hAnsi="Times New Roman" w:eastAsia="仿宋_GB2312" w:cs="Times New Roman"/>
          <w:szCs w:val="21"/>
        </w:rPr>
      </w:pPr>
    </w:p>
    <w:p>
      <w:pPr>
        <w:spacing w:line="240" w:lineRule="exact"/>
        <w:ind w:left="85" w:firstLine="9181" w:firstLineChars="4372"/>
        <w:jc w:val="center"/>
        <w:rPr>
          <w:rFonts w:hint="default" w:ascii="Times New Roman" w:hAnsi="Times New Roman" w:eastAsia="仿宋_GB2312" w:cs="Times New Roman"/>
          <w:szCs w:val="21"/>
        </w:rPr>
      </w:pPr>
    </w:p>
    <w:p>
      <w:pPr>
        <w:spacing w:line="240" w:lineRule="exact"/>
        <w:ind w:left="85" w:firstLine="9181" w:firstLineChars="4372"/>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br w:type="page"/>
      </w:r>
    </w:p>
    <w:tbl>
      <w:tblPr>
        <w:tblStyle w:val="21"/>
        <w:tblW w:w="4900" w:type="pct"/>
        <w:jc w:val="center"/>
        <w:tblLayout w:type="autofit"/>
        <w:tblCellMar>
          <w:top w:w="0" w:type="dxa"/>
          <w:left w:w="108" w:type="dxa"/>
          <w:bottom w:w="0" w:type="dxa"/>
          <w:right w:w="108" w:type="dxa"/>
        </w:tblCellMar>
      </w:tblPr>
      <w:tblGrid>
        <w:gridCol w:w="1287"/>
        <w:gridCol w:w="2210"/>
        <w:gridCol w:w="1460"/>
        <w:gridCol w:w="1393"/>
        <w:gridCol w:w="1158"/>
        <w:gridCol w:w="1629"/>
        <w:gridCol w:w="1086"/>
        <w:gridCol w:w="1390"/>
        <w:gridCol w:w="1393"/>
        <w:gridCol w:w="928"/>
      </w:tblGrid>
      <w:tr>
        <w:tblPrEx>
          <w:tblCellMar>
            <w:top w:w="0" w:type="dxa"/>
            <w:left w:w="108" w:type="dxa"/>
            <w:bottom w:w="0" w:type="dxa"/>
            <w:right w:w="108" w:type="dxa"/>
          </w:tblCellMar>
        </w:tblPrEx>
        <w:trPr>
          <w:trHeight w:val="113" w:hRule="atLeast"/>
          <w:jc w:val="center"/>
        </w:trPr>
        <w:tc>
          <w:tcPr>
            <w:tcW w:w="5000" w:type="pct"/>
            <w:gridSpan w:val="10"/>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 w:val="30"/>
                <w:szCs w:val="30"/>
              </w:rPr>
              <w:t>估价对象（东台河闸南首）土地租金估价结果明细表（林地）</w:t>
            </w:r>
          </w:p>
        </w:tc>
      </w:tr>
      <w:tr>
        <w:tblPrEx>
          <w:tblCellMar>
            <w:top w:w="0" w:type="dxa"/>
            <w:left w:w="108" w:type="dxa"/>
            <w:bottom w:w="0" w:type="dxa"/>
            <w:right w:w="108" w:type="dxa"/>
          </w:tblCellMar>
        </w:tblPrEx>
        <w:trPr>
          <w:trHeight w:val="304" w:hRule="atLeast"/>
          <w:jc w:val="center"/>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序号</w:t>
            </w:r>
          </w:p>
        </w:tc>
        <w:tc>
          <w:tcPr>
            <w:tcW w:w="7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区域</w:t>
            </w:r>
          </w:p>
        </w:tc>
        <w:tc>
          <w:tcPr>
            <w:tcW w:w="5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位置</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土地面积（亩）</w:t>
            </w:r>
          </w:p>
        </w:tc>
        <w:tc>
          <w:tcPr>
            <w:tcW w:w="4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用地类别</w:t>
            </w:r>
          </w:p>
        </w:tc>
        <w:tc>
          <w:tcPr>
            <w:tcW w:w="5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租赁起止日期</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租期</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年租金单价</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年租金总价</w:t>
            </w:r>
          </w:p>
        </w:tc>
        <w:tc>
          <w:tcPr>
            <w:tcW w:w="3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备注</w:t>
            </w:r>
          </w:p>
        </w:tc>
      </w:tr>
      <w:tr>
        <w:tblPrEx>
          <w:tblCellMar>
            <w:top w:w="0" w:type="dxa"/>
            <w:left w:w="108" w:type="dxa"/>
            <w:bottom w:w="0" w:type="dxa"/>
            <w:right w:w="108" w:type="dxa"/>
          </w:tblCellMar>
        </w:tblPrEx>
        <w:trPr>
          <w:trHeight w:val="272" w:hRule="atLeast"/>
          <w:jc w:val="center"/>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r>
      <w:tr>
        <w:tblPrEx>
          <w:tblCellMar>
            <w:top w:w="0" w:type="dxa"/>
            <w:left w:w="108" w:type="dxa"/>
            <w:bottom w:w="0" w:type="dxa"/>
            <w:right w:w="108" w:type="dxa"/>
          </w:tblCellMar>
        </w:tblPrEx>
        <w:trPr>
          <w:trHeight w:val="113" w:hRule="atLeast"/>
          <w:jc w:val="center"/>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（元/亩）</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（万元）</w:t>
            </w: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color w:val="000000"/>
                <w:kern w:val="0"/>
                <w:szCs w:val="21"/>
              </w:rPr>
            </w:pP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1</w:t>
            </w:r>
          </w:p>
        </w:tc>
        <w:tc>
          <w:tcPr>
            <w:tcW w:w="22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serif" w:cs="Times New Roman"/>
                <w:color w:val="000000"/>
                <w:kern w:val="0"/>
                <w:szCs w:val="21"/>
                <w:lang w:bidi="ar"/>
              </w:rPr>
              <w:t>二区东</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serif" w:cs="Times New Roman"/>
                <w:color w:val="000000"/>
                <w:kern w:val="0"/>
                <w:szCs w:val="21"/>
                <w:lang w:bidi="ar"/>
              </w:rPr>
              <w:t>机站西侧林地</w:t>
            </w:r>
          </w:p>
        </w:tc>
        <w:tc>
          <w:tcPr>
            <w:tcW w:w="13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color w:val="000000"/>
                <w:kern w:val="0"/>
                <w:szCs w:val="21"/>
                <w:lang w:bidi="ar"/>
              </w:rPr>
              <w:t>8</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0.24</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　</w:t>
            </w: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2</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八区东</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19</w:t>
            </w:r>
            <w:r>
              <w:rPr>
                <w:rFonts w:hint="default" w:ascii="Times New Roman" w:hAnsi="Times New Roman" w:eastAsia="serif" w:cs="Times New Roman"/>
                <w:color w:val="000000"/>
                <w:kern w:val="0"/>
                <w:szCs w:val="21"/>
                <w:lang w:bidi="ar"/>
              </w:rPr>
              <w:t>号林</w:t>
            </w:r>
          </w:p>
        </w:tc>
        <w:tc>
          <w:tcPr>
            <w:tcW w:w="13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108</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3.89</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3</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九区东</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w:t>
            </w:r>
            <w:r>
              <w:rPr>
                <w:rFonts w:hint="default" w:ascii="Times New Roman" w:hAnsi="Times New Roman" w:eastAsia="serif" w:cs="Times New Roman"/>
                <w:color w:val="000000"/>
                <w:kern w:val="0"/>
                <w:szCs w:val="21"/>
                <w:lang w:bidi="ar"/>
              </w:rPr>
              <w:t>、</w:t>
            </w:r>
            <w:r>
              <w:rPr>
                <w:rFonts w:hint="default" w:ascii="Times New Roman" w:hAnsi="Times New Roman" w:cs="Times New Roman"/>
                <w:color w:val="000000"/>
                <w:kern w:val="0"/>
                <w:szCs w:val="21"/>
                <w:lang w:bidi="ar"/>
              </w:rPr>
              <w:t>21</w:t>
            </w:r>
            <w:r>
              <w:rPr>
                <w:rFonts w:hint="default" w:ascii="Times New Roman" w:hAnsi="Times New Roman" w:eastAsia="serif" w:cs="Times New Roman"/>
                <w:color w:val="000000"/>
                <w:kern w:val="0"/>
                <w:szCs w:val="21"/>
                <w:lang w:bidi="ar"/>
              </w:rPr>
              <w:t>号林</w:t>
            </w:r>
          </w:p>
        </w:tc>
        <w:tc>
          <w:tcPr>
            <w:tcW w:w="139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78.9</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2.84</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4</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九区东</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号林</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44.56</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234</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5</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七区、八区、九区</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圩堤</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248</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332</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8.23</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11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cs="Times New Roman"/>
                <w:b/>
                <w:bCs/>
                <w:color w:val="000000"/>
                <w:kern w:val="0"/>
                <w:szCs w:val="21"/>
                <w:lang w:bidi="ar"/>
              </w:rPr>
              <w:t>6</w:t>
            </w:r>
          </w:p>
        </w:tc>
        <w:tc>
          <w:tcPr>
            <w:tcW w:w="22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五</w:t>
            </w:r>
            <w:r>
              <w:rPr>
                <w:rFonts w:hint="default" w:ascii="Times New Roman" w:hAnsi="Times New Roman" w:cs="Times New Roman"/>
                <w:color w:val="000000"/>
                <w:kern w:val="0"/>
                <w:szCs w:val="21"/>
                <w:lang w:bidi="ar"/>
              </w:rPr>
              <w:t>区</w:t>
            </w:r>
            <w:r>
              <w:rPr>
                <w:rFonts w:hint="default" w:ascii="Times New Roman" w:hAnsi="Times New Roman" w:eastAsia="serif" w:cs="Times New Roman"/>
                <w:color w:val="000000"/>
                <w:kern w:val="0"/>
                <w:szCs w:val="21"/>
                <w:lang w:bidi="ar"/>
              </w:rPr>
              <w:t>南</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圩堤</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172.06</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serif" w:cs="Times New Roman"/>
                <w:color w:val="000000"/>
                <w:kern w:val="0"/>
                <w:szCs w:val="21"/>
                <w:lang w:bidi="ar"/>
              </w:rPr>
              <w:t>林地</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2024.1.01</w:t>
            </w:r>
            <w:r>
              <w:rPr>
                <w:rFonts w:hint="default" w:ascii="Times New Roman" w:hAnsi="Times New Roman" w:eastAsia="serif" w:cs="Times New Roman"/>
                <w:color w:val="000000"/>
                <w:kern w:val="0"/>
                <w:szCs w:val="21"/>
                <w:lang w:bidi="ar"/>
              </w:rPr>
              <w:t>至</w:t>
            </w:r>
            <w:r>
              <w:rPr>
                <w:rFonts w:hint="default" w:ascii="Times New Roman" w:hAnsi="Times New Roman" w:cs="Times New Roman"/>
                <w:color w:val="000000"/>
                <w:kern w:val="0"/>
                <w:szCs w:val="21"/>
                <w:lang w:bidi="ar"/>
              </w:rPr>
              <w:t>2024.12.31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lang w:bidi="ar"/>
              </w:rPr>
              <w:t>1</w:t>
            </w:r>
            <w:r>
              <w:rPr>
                <w:rFonts w:hint="default" w:ascii="Times New Roman" w:hAnsi="Times New Roman" w:eastAsia="serif" w:cs="Times New Roman"/>
                <w:color w:val="000000"/>
                <w:kern w:val="0"/>
                <w:szCs w:val="21"/>
                <w:lang w:bidi="ar"/>
              </w:rPr>
              <w:t>年</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1.79</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472" w:hRule="atLeast"/>
          <w:jc w:val="center"/>
        </w:trPr>
        <w:tc>
          <w:tcPr>
            <w:tcW w:w="12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 计</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659.52</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rPr>
            </w:pP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18.03</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bl>
    <w:p>
      <w:pPr>
        <w:spacing w:line="240" w:lineRule="exact"/>
        <w:rPr>
          <w:rFonts w:hint="default" w:ascii="Times New Roman" w:hAnsi="Times New Roman" w:eastAsia="仿宋_GB2312" w:cs="Times New Roman"/>
          <w:szCs w:val="21"/>
        </w:rPr>
        <w:sectPr>
          <w:pgSz w:w="16838" w:h="11906" w:orient="landscape"/>
          <w:pgMar w:top="851" w:right="1418" w:bottom="851" w:left="1418" w:header="851" w:footer="992" w:gutter="0"/>
          <w:pgNumType w:fmt="decimal"/>
          <w:cols w:space="720" w:num="1"/>
          <w:docGrid w:linePitch="312" w:charSpace="0"/>
        </w:sectPr>
      </w:pPr>
    </w:p>
    <w:p>
      <w:pPr>
        <w:adjustRightInd w:val="0"/>
        <w:snapToGrid w:val="0"/>
        <w:spacing w:before="156" w:beforeLines="50" w:after="156" w:afterLines="50" w:line="600" w:lineRule="exact"/>
        <w:ind w:left="-1298" w:leftChars="-618" w:firstLine="1405" w:firstLineChars="5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十、估价结果和估价报告的使用</w:t>
      </w:r>
    </w:p>
    <w:p>
      <w:pPr>
        <w:tabs>
          <w:tab w:val="left" w:pos="1920"/>
        </w:tabs>
        <w:adjustRightInd w:val="0"/>
        <w:snapToGrid w:val="0"/>
        <w:spacing w:line="480" w:lineRule="exact"/>
        <w:ind w:firstLine="422" w:firstLineChars="150"/>
        <w:outlineLvl w:val="0"/>
        <w:rPr>
          <w:rFonts w:hint="default" w:ascii="Times New Roman" w:hAnsi="Times New Roman" w:eastAsia="仿宋_GB2312" w:cs="Times New Roman"/>
          <w:b/>
          <w:bCs/>
          <w:sz w:val="28"/>
          <w:szCs w:val="28"/>
        </w:rPr>
      </w:pPr>
      <w:bookmarkStart w:id="2" w:name="_Hlk25410710"/>
      <w:r>
        <w:rPr>
          <w:rFonts w:hint="default" w:ascii="Times New Roman" w:hAnsi="Times New Roman" w:eastAsia="仿宋_GB2312" w:cs="Times New Roman"/>
          <w:b/>
          <w:bCs/>
          <w:sz w:val="28"/>
        </w:rPr>
        <w:t>（一）本次</w:t>
      </w:r>
      <w:r>
        <w:rPr>
          <w:rFonts w:hint="default" w:ascii="Times New Roman" w:hAnsi="Times New Roman" w:eastAsia="仿宋_GB2312" w:cs="Times New Roman"/>
          <w:b/>
          <w:bCs/>
          <w:sz w:val="28"/>
          <w:szCs w:val="28"/>
        </w:rPr>
        <w:t>估价的前提条件和假设条件</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rPr>
        <w:t>1、本次</w:t>
      </w:r>
      <w:r>
        <w:rPr>
          <w:rFonts w:hint="default" w:ascii="Times New Roman" w:hAnsi="Times New Roman" w:eastAsia="仿宋_GB2312" w:cs="Times New Roman"/>
          <w:sz w:val="28"/>
          <w:szCs w:val="28"/>
        </w:rPr>
        <w:t>估价的前提条件是：</w:t>
      </w:r>
      <w:r>
        <w:rPr>
          <w:rFonts w:hint="default" w:ascii="Times New Roman" w:hAnsi="Times New Roman" w:eastAsia="仿宋_GB2312" w:cs="Times New Roman"/>
          <w:sz w:val="28"/>
        </w:rPr>
        <w:t>江苏省沿海农业发展有限公司委托江苏拓普森房地产资产评估规划测绘有限公司对位于东台市东台河闸南首（淡水养殖、林地）部分国有划拨农用地使用权市场租金价格进行评估，为委托方确定土地使用权发包底价提供参考依据。估价结果成立的前提条件是：估价对象能够按照委托方提供的现状条件进行开发利用，并在发包年限内持续使用。</w:t>
      </w:r>
    </w:p>
    <w:p>
      <w:pPr>
        <w:tabs>
          <w:tab w:val="left" w:pos="1920"/>
        </w:tabs>
        <w:adjustRightInd w:val="0"/>
        <w:snapToGrid w:val="0"/>
        <w:spacing w:line="480" w:lineRule="exact"/>
        <w:ind w:firstLine="700" w:firstLineChars="25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2、本报告评估结果是指估价对象的2024年发包底价，仅适用于本评估报告之特定目的，它依据如下假设：</w:t>
      </w:r>
    </w:p>
    <w:p>
      <w:pPr>
        <w:pStyle w:val="11"/>
        <w:spacing w:line="480" w:lineRule="exact"/>
        <w:ind w:firstLine="560" w:firstLineChars="200"/>
        <w:rPr>
          <w:rFonts w:hint="default" w:ascii="Times New Roman" w:hAnsi="Times New Roman" w:eastAsia="仿宋_GB2312" w:cs="Times New Roman"/>
          <w:kern w:val="2"/>
          <w:sz w:val="28"/>
          <w:szCs w:val="24"/>
        </w:rPr>
      </w:pPr>
      <w:r>
        <w:rPr>
          <w:rFonts w:hint="default" w:ascii="Times New Roman" w:hAnsi="Times New Roman" w:eastAsia="仿宋_GB2312" w:cs="Times New Roman"/>
          <w:kern w:val="2"/>
          <w:sz w:val="28"/>
          <w:szCs w:val="24"/>
        </w:rPr>
        <w:t>2.1具有一个公开的土地市场；</w:t>
      </w:r>
    </w:p>
    <w:p>
      <w:pPr>
        <w:pStyle w:val="11"/>
        <w:spacing w:line="480" w:lineRule="exact"/>
        <w:ind w:firstLine="560" w:firstLineChars="200"/>
        <w:rPr>
          <w:rFonts w:hint="default" w:ascii="Times New Roman" w:hAnsi="Times New Roman" w:eastAsia="仿宋_GB2312" w:cs="Times New Roman"/>
          <w:kern w:val="2"/>
          <w:sz w:val="28"/>
          <w:szCs w:val="24"/>
        </w:rPr>
      </w:pPr>
      <w:r>
        <w:rPr>
          <w:rFonts w:hint="default" w:ascii="Times New Roman" w:hAnsi="Times New Roman" w:eastAsia="仿宋_GB2312" w:cs="Times New Roman"/>
          <w:kern w:val="2"/>
          <w:sz w:val="28"/>
          <w:szCs w:val="24"/>
        </w:rPr>
        <w:t>2.2委估标的能够自由地在市场上进行交易活动；</w:t>
      </w:r>
    </w:p>
    <w:p>
      <w:pPr>
        <w:pStyle w:val="11"/>
        <w:spacing w:line="480" w:lineRule="exact"/>
        <w:ind w:firstLine="560" w:firstLineChars="200"/>
        <w:rPr>
          <w:rFonts w:hint="default" w:ascii="Times New Roman" w:hAnsi="Times New Roman" w:eastAsia="仿宋_GB2312" w:cs="Times New Roman"/>
          <w:kern w:val="2"/>
          <w:sz w:val="28"/>
          <w:szCs w:val="24"/>
        </w:rPr>
      </w:pPr>
      <w:r>
        <w:rPr>
          <w:rFonts w:hint="default" w:ascii="Times New Roman" w:hAnsi="Times New Roman" w:eastAsia="仿宋_GB2312" w:cs="Times New Roman"/>
          <w:kern w:val="2"/>
          <w:sz w:val="28"/>
          <w:szCs w:val="24"/>
        </w:rPr>
        <w:t>2.3委估方提供的情况都是真实的，有关资料都是合法有效的；</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2.4估价对象能够依据现状条件进行开发利用。</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3、本次</w:t>
      </w:r>
      <w:r>
        <w:rPr>
          <w:rFonts w:hint="default" w:ascii="Times New Roman" w:hAnsi="Times New Roman" w:eastAsia="仿宋_GB2312" w:cs="Times New Roman"/>
          <w:sz w:val="28"/>
          <w:szCs w:val="28"/>
        </w:rPr>
        <w:t>估价对象的面积是以委托评估协议书的附件“</w:t>
      </w:r>
      <w:r>
        <w:rPr>
          <w:rFonts w:hint="eastAsia" w:eastAsia="仿宋_GB2312" w:cs="Times New Roman"/>
          <w:sz w:val="28"/>
          <w:szCs w:val="28"/>
          <w:lang w:eastAsia="zh-CN"/>
        </w:rPr>
        <w:t>2024年金东台分公司承包统计表</w:t>
      </w:r>
      <w:r>
        <w:rPr>
          <w:rFonts w:hint="default" w:ascii="Times New Roman" w:hAnsi="Times New Roman" w:eastAsia="仿宋_GB2312" w:cs="Times New Roman"/>
          <w:sz w:val="28"/>
          <w:szCs w:val="28"/>
        </w:rPr>
        <w:t>”的数据为准。</w:t>
      </w:r>
    </w:p>
    <w:p>
      <w:pPr>
        <w:tabs>
          <w:tab w:val="left" w:pos="1920"/>
        </w:tabs>
        <w:adjustRightInd w:val="0"/>
        <w:snapToGrid w:val="0"/>
        <w:spacing w:line="480" w:lineRule="exact"/>
        <w:ind w:firstLine="526" w:firstLineChars="187"/>
        <w:outlineLvl w:val="0"/>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（二）本估价结果和估价报告的使用方向与限制条件</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1、本次评估的估价对象2024年发包底价，是指估价对象在公开土地市场条件下合法交易的正常供需价格，即正常发包价格。</w:t>
      </w:r>
    </w:p>
    <w:p>
      <w:pPr>
        <w:spacing w:line="48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2、土地估价结果仅为委托方确定土地使用权发包底价提供参考依据，不能作为他用。</w:t>
      </w:r>
    </w:p>
    <w:p>
      <w:pPr>
        <w:spacing w:line="48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3、土地估价报告的有效期自提交报告之日起一年内有效。</w:t>
      </w:r>
    </w:p>
    <w:p>
      <w:pPr>
        <w:spacing w:line="48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4、估价报</w:t>
      </w:r>
      <w:r>
        <w:rPr>
          <w:rFonts w:hint="default" w:ascii="Times New Roman" w:hAnsi="Times New Roman" w:eastAsia="仿宋_GB2312" w:cs="Times New Roman"/>
          <w:sz w:val="28"/>
          <w:szCs w:val="28"/>
        </w:rPr>
        <w:t>告和估价结果的使用权归委托方所有，估价机构对估价结果有解释权</w:t>
      </w:r>
      <w:r>
        <w:rPr>
          <w:rFonts w:hint="default" w:ascii="Times New Roman" w:hAnsi="Times New Roman" w:eastAsia="仿宋_GB2312" w:cs="Times New Roman"/>
          <w:sz w:val="28"/>
        </w:rPr>
        <w:t>。</w:t>
      </w:r>
    </w:p>
    <w:p>
      <w:pPr>
        <w:snapToGrid w:val="0"/>
        <w:spacing w:line="480" w:lineRule="exact"/>
        <w:ind w:firstLine="413" w:firstLineChars="147"/>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（三）需要特殊说明的事项</w:t>
      </w:r>
    </w:p>
    <w:p>
      <w:pPr>
        <w:tabs>
          <w:tab w:val="left" w:pos="1920"/>
        </w:tabs>
        <w:adjustRightInd w:val="0"/>
        <w:snapToGrid w:val="0"/>
        <w:spacing w:line="480" w:lineRule="exact"/>
        <w:ind w:firstLine="632" w:firstLineChars="225"/>
        <w:outlineLvl w:val="0"/>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1、有关资料来源及未经实地确认或无法实地确认的资料</w:t>
      </w:r>
    </w:p>
    <w:p>
      <w:pPr>
        <w:tabs>
          <w:tab w:val="left" w:pos="1920"/>
        </w:tabs>
        <w:adjustRightInd w:val="0"/>
        <w:snapToGrid w:val="0"/>
        <w:spacing w:line="48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1.1估价机构仅对委托方提供的有关资料复印件进行了核对，但未对其真实性进行核实。委托方应对其提供全部材料的完整性、真实性、合法性承担全部责任。</w:t>
      </w:r>
    </w:p>
    <w:p>
      <w:pPr>
        <w:tabs>
          <w:tab w:val="left" w:pos="1920"/>
        </w:tabs>
        <w:adjustRightInd w:val="0"/>
        <w:snapToGrid w:val="0"/>
        <w:spacing w:line="48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1.2估价人员对估价对象的现场勘察仅限于可观察和接触到的部分，对被遮盖、未暴露以及难以接触部分因无法实地确认而未实际确认，评估时依据委托估价方提供的资料和估价人员掌握的资料进行评估。</w:t>
      </w:r>
    </w:p>
    <w:p>
      <w:pPr>
        <w:tabs>
          <w:tab w:val="left" w:pos="1920"/>
        </w:tabs>
        <w:adjustRightInd w:val="0"/>
        <w:snapToGrid w:val="0"/>
        <w:spacing w:line="480" w:lineRule="exact"/>
        <w:ind w:firstLine="562" w:firstLineChars="200"/>
        <w:outlineLvl w:val="0"/>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2、对估价结果和估价工作可能产生影响的变化事项</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 w:cs="Times New Roman"/>
          <w:sz w:val="28"/>
        </w:rPr>
        <w:t>本次估价所引用的参数如利润率等的选取会对估价结果产生影响。本次估价结果在现行政策规定的取费标准基础上测算所得，如政策发生变化，估价结果需作相应调整</w:t>
      </w:r>
      <w:r>
        <w:rPr>
          <w:rFonts w:hint="default" w:ascii="Times New Roman" w:hAnsi="Times New Roman" w:eastAsia="仿宋_GB2312" w:cs="Times New Roman"/>
          <w:sz w:val="28"/>
        </w:rPr>
        <w:t>。</w:t>
      </w:r>
    </w:p>
    <w:p>
      <w:pPr>
        <w:tabs>
          <w:tab w:val="left" w:pos="1920"/>
        </w:tabs>
        <w:adjustRightInd w:val="0"/>
        <w:snapToGrid w:val="0"/>
        <w:spacing w:line="480" w:lineRule="exact"/>
        <w:ind w:firstLine="562"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b/>
          <w:bCs/>
          <w:sz w:val="28"/>
        </w:rPr>
        <w:t>3、估价对象的特殊性及估价中未考虑的因素</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3.1由于估价对象的个别性所形成的特殊性，估价对象的价格更受需求市场的影响，本次估价把投资人作为经济人考虑，未考虑心理因素及宣传鼓动因素对地价的影响。</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3.2本次估价未考虑特殊交易方式对评估结论的影响。</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3.3委托方提供的情况都是真实的，有关资料都是合法有效的。</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3.4本次估价未考虑国家宏观经济政策发生变化，城乡规划发生重大调整以及遇有自然力和其他不可抗力对评估价格的影响。</w:t>
      </w:r>
    </w:p>
    <w:p>
      <w:pPr>
        <w:tabs>
          <w:tab w:val="left" w:pos="1920"/>
        </w:tabs>
        <w:adjustRightInd w:val="0"/>
        <w:snapToGrid w:val="0"/>
        <w:spacing w:line="480" w:lineRule="exact"/>
        <w:ind w:firstLine="562" w:firstLineChars="200"/>
        <w:outlineLvl w:val="0"/>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4、其它需要说明的事项</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rPr>
      </w:pPr>
      <w:r>
        <w:rPr>
          <w:rFonts w:hint="default" w:ascii="Times New Roman" w:hAnsi="Times New Roman" w:eastAsia="仿宋_GB2312" w:cs="Times New Roman"/>
          <w:sz w:val="28"/>
        </w:rPr>
        <w:t>4.1估价人员根据国家有关法律、法规、估价规程及地方有关地价评估技术标准，结合估价对象状况确定估价原则、方法及参数的选取。</w:t>
      </w:r>
    </w:p>
    <w:p>
      <w:pPr>
        <w:tabs>
          <w:tab w:val="left" w:pos="1920"/>
        </w:tabs>
        <w:adjustRightInd w:val="0"/>
        <w:snapToGrid w:val="0"/>
        <w:spacing w:line="480" w:lineRule="exact"/>
        <w:ind w:firstLine="560" w:firstLineChars="200"/>
        <w:outlineLvl w:val="0"/>
        <w:rPr>
          <w:rFonts w:hint="default" w:ascii="Times New Roman" w:hAnsi="Times New Roman" w:eastAsia="仿宋_GB2312" w:cs="Times New Roman"/>
          <w:sz w:val="28"/>
          <w:szCs w:val="30"/>
        </w:rPr>
      </w:pPr>
      <w:r>
        <w:rPr>
          <w:rFonts w:hint="default" w:ascii="Times New Roman" w:hAnsi="Times New Roman" w:eastAsia="仿宋_GB2312" w:cs="Times New Roman"/>
          <w:sz w:val="28"/>
        </w:rPr>
        <w:t>4.2地价货币单位：人民币元/亩。</w:t>
      </w:r>
    </w:p>
    <w:bookmarkEnd w:id="2"/>
    <w:p>
      <w:pPr>
        <w:snapToGrid w:val="0"/>
        <w:spacing w:before="156" w:beforeLines="50" w:after="156" w:afterLines="50" w:line="48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bCs/>
          <w:sz w:val="32"/>
          <w:szCs w:val="32"/>
        </w:rPr>
        <w:br w:type="page"/>
      </w:r>
      <w:r>
        <w:rPr>
          <w:rFonts w:hint="default" w:ascii="Times New Roman" w:hAnsi="Times New Roman" w:eastAsia="仿宋_GB2312" w:cs="Times New Roman"/>
          <w:b/>
          <w:sz w:val="28"/>
          <w:szCs w:val="28"/>
        </w:rPr>
        <w:t>十一、土地估价师签字</w:t>
      </w:r>
    </w:p>
    <w:p>
      <w:pPr>
        <w:adjustRightInd w:val="0"/>
        <w:snapToGrid w:val="0"/>
        <w:spacing w:line="420" w:lineRule="exact"/>
        <w:outlineLvl w:val="0"/>
        <w:rPr>
          <w:rFonts w:hint="default" w:ascii="Times New Roman" w:hAnsi="Times New Roman" w:eastAsia="仿宋_GB2312" w:cs="Times New Roman"/>
          <w:b/>
          <w:sz w:val="28"/>
          <w:szCs w:val="28"/>
        </w:rPr>
      </w:pPr>
    </w:p>
    <w:p>
      <w:pPr>
        <w:autoSpaceDE w:val="0"/>
        <w:autoSpaceDN w:val="0"/>
        <w:spacing w:line="600" w:lineRule="exact"/>
        <w:ind w:firstLine="703" w:firstLineChars="250"/>
        <w:jc w:val="left"/>
        <w:textAlignment w:val="bottom"/>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估价师姓名         土地估价师资格证书号         签  名</w:t>
      </w:r>
    </w:p>
    <w:p>
      <w:pPr>
        <w:autoSpaceDE w:val="0"/>
        <w:autoSpaceDN w:val="0"/>
        <w:spacing w:line="600" w:lineRule="exact"/>
        <w:ind w:firstLine="840" w:firstLineChars="300"/>
        <w:textAlignment w:val="bottom"/>
        <w:rPr>
          <w:rFonts w:hint="default" w:ascii="Times New Roman" w:hAnsi="Times New Roman" w:eastAsia="仿宋_GB2312" w:cs="Times New Roman"/>
          <w:sz w:val="28"/>
        </w:rPr>
      </w:pPr>
    </w:p>
    <w:p>
      <w:pPr>
        <w:autoSpaceDE w:val="0"/>
        <w:autoSpaceDN w:val="0"/>
        <w:spacing w:line="600" w:lineRule="exact"/>
        <w:ind w:firstLine="840" w:firstLineChars="300"/>
        <w:textAlignment w:val="bottom"/>
        <w:rPr>
          <w:rFonts w:hint="default" w:ascii="Times New Roman" w:hAnsi="Times New Roman" w:eastAsia="仿宋_GB2312" w:cs="Times New Roman"/>
          <w:sz w:val="28"/>
        </w:rPr>
      </w:pPr>
      <w:r>
        <w:rPr>
          <w:rFonts w:hint="default" w:ascii="Times New Roman" w:hAnsi="Times New Roman" w:eastAsia="仿宋_GB2312" w:cs="Times New Roman"/>
          <w:sz w:val="28"/>
        </w:rPr>
        <w:t>糜若菌                2008320055</w:t>
      </w:r>
    </w:p>
    <w:p>
      <w:pPr>
        <w:autoSpaceDE w:val="0"/>
        <w:autoSpaceDN w:val="0"/>
        <w:spacing w:line="600" w:lineRule="exact"/>
        <w:ind w:firstLine="840" w:firstLineChars="300"/>
        <w:textAlignment w:val="bottom"/>
        <w:rPr>
          <w:rFonts w:hint="default" w:ascii="Times New Roman" w:hAnsi="Times New Roman" w:eastAsia="仿宋_GB2312" w:cs="Times New Roman"/>
          <w:sz w:val="28"/>
        </w:rPr>
      </w:pPr>
    </w:p>
    <w:p>
      <w:pPr>
        <w:autoSpaceDE w:val="0"/>
        <w:autoSpaceDN w:val="0"/>
        <w:adjustRightInd w:val="0"/>
        <w:spacing w:after="233" w:line="360" w:lineRule="auto"/>
        <w:ind w:left="573" w:firstLine="280" w:firstLineChars="100"/>
        <w:rPr>
          <w:rFonts w:hint="default" w:ascii="Times New Roman" w:hAnsi="Times New Roman" w:eastAsia="仿宋_GB2312" w:cs="Times New Roman"/>
          <w:sz w:val="28"/>
          <w:szCs w:val="28"/>
          <w:lang w:val="zh-SG"/>
        </w:rPr>
      </w:pPr>
      <w:r>
        <w:rPr>
          <w:rFonts w:hint="default" w:ascii="Times New Roman" w:hAnsi="Times New Roman" w:eastAsia="仿宋_GB2312" w:cs="Times New Roman"/>
          <w:sz w:val="28"/>
        </w:rPr>
        <w:t>吴锦文                2010320014</w:t>
      </w:r>
    </w:p>
    <w:p>
      <w:pPr>
        <w:spacing w:line="600" w:lineRule="exact"/>
        <w:ind w:left="210" w:leftChars="100" w:firstLine="560" w:firstLineChars="200"/>
        <w:rPr>
          <w:rFonts w:hint="default" w:ascii="Times New Roman" w:hAnsi="Times New Roman" w:eastAsia="仿宋_GB2312" w:cs="Times New Roman"/>
          <w:sz w:val="28"/>
          <w:szCs w:val="28"/>
        </w:rPr>
      </w:pPr>
    </w:p>
    <w:p>
      <w:pPr>
        <w:snapToGrid w:val="0"/>
        <w:spacing w:before="156" w:beforeLines="50" w:after="156" w:afterLines="50" w:line="48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十二、土地估价机构</w:t>
      </w:r>
    </w:p>
    <w:p>
      <w:pPr>
        <w:spacing w:line="460" w:lineRule="exact"/>
        <w:ind w:right="18"/>
        <w:rPr>
          <w:rFonts w:hint="default" w:ascii="Times New Roman" w:hAnsi="Times New Roman" w:eastAsia="仿宋_GB2312" w:cs="Times New Roman"/>
          <w:kern w:val="0"/>
          <w:sz w:val="28"/>
          <w:szCs w:val="32"/>
        </w:rPr>
      </w:pPr>
    </w:p>
    <w:p>
      <w:pPr>
        <w:spacing w:line="460" w:lineRule="exact"/>
        <w:ind w:right="18"/>
        <w:rPr>
          <w:rFonts w:hint="default" w:ascii="Times New Roman" w:hAnsi="Times New Roman" w:eastAsia="仿宋_GB2312" w:cs="Times New Roman"/>
          <w:kern w:val="0"/>
          <w:sz w:val="28"/>
          <w:szCs w:val="32"/>
        </w:rPr>
      </w:pPr>
    </w:p>
    <w:p>
      <w:pPr>
        <w:spacing w:line="460" w:lineRule="exact"/>
        <w:ind w:right="18" w:firstLine="2240" w:firstLineChars="8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江苏拓普森房地产资产评估规划测绘有限公司</w:t>
      </w:r>
    </w:p>
    <w:p>
      <w:pPr>
        <w:spacing w:line="460" w:lineRule="exact"/>
        <w:ind w:right="18" w:firstLine="2240" w:firstLineChars="800"/>
        <w:rPr>
          <w:rFonts w:hint="default" w:ascii="Times New Roman" w:hAnsi="Times New Roman" w:eastAsia="仿宋_GB2312" w:cs="Times New Roman"/>
          <w:sz w:val="28"/>
          <w:szCs w:val="28"/>
        </w:rPr>
      </w:pPr>
    </w:p>
    <w:p>
      <w:pPr>
        <w:spacing w:line="460" w:lineRule="exact"/>
        <w:ind w:right="18" w:firstLine="3897" w:firstLineChars="1392"/>
        <w:rPr>
          <w:rFonts w:hint="default" w:ascii="Times New Roman" w:hAnsi="Times New Roman" w:eastAsia="仿宋_GB2312" w:cs="Times New Roman"/>
          <w:sz w:val="28"/>
          <w:szCs w:val="28"/>
        </w:rPr>
      </w:pPr>
      <w:r>
        <w:rPr>
          <w:rFonts w:hint="default" w:ascii="Times New Roman" w:hAnsi="Times New Roman" w:eastAsia="仿宋_GB2312" w:cs="Times New Roman"/>
          <w:sz w:val="28"/>
        </w:rPr>
        <w:t>估价机构法定代表人签字</w:t>
      </w:r>
      <w:r>
        <w:rPr>
          <w:rFonts w:hint="default" w:ascii="Times New Roman" w:hAnsi="Times New Roman" w:eastAsia="仿宋_GB2312" w:cs="Times New Roman"/>
          <w:sz w:val="28"/>
          <w:szCs w:val="28"/>
        </w:rPr>
        <w:t>：</w:t>
      </w:r>
    </w:p>
    <w:p>
      <w:pPr>
        <w:adjustRightInd w:val="0"/>
        <w:spacing w:before="156" w:beforeLines="50" w:after="156" w:afterLines="50" w:line="500" w:lineRule="exact"/>
        <w:ind w:firstLine="3640" w:firstLineChars="1300"/>
        <w:textAlignment w:val="baseline"/>
        <w:rPr>
          <w:rFonts w:hint="default" w:ascii="Times New Roman" w:hAnsi="Times New Roman" w:eastAsia="仿宋_GB2312" w:cs="Times New Roman"/>
          <w:sz w:val="28"/>
        </w:rPr>
      </w:pPr>
    </w:p>
    <w:p>
      <w:pPr>
        <w:adjustRightInd w:val="0"/>
        <w:spacing w:before="156" w:beforeLines="50" w:after="156" w:afterLines="50" w:line="500" w:lineRule="exact"/>
        <w:ind w:firstLine="4760" w:firstLineChars="1700"/>
        <w:textAlignment w:val="baseline"/>
        <w:rPr>
          <w:rFonts w:hint="default" w:ascii="Times New Roman" w:hAnsi="Times New Roman" w:eastAsia="仿宋_GB2312" w:cs="Times New Roman"/>
          <w:sz w:val="28"/>
        </w:rPr>
      </w:pPr>
      <w:r>
        <w:rPr>
          <w:rFonts w:hint="default" w:ascii="Times New Roman" w:hAnsi="Times New Roman" w:eastAsia="仿宋_GB2312" w:cs="Times New Roman"/>
          <w:sz w:val="28"/>
        </w:rPr>
        <w:t>二○二四年一月五日</w:t>
      </w:r>
    </w:p>
    <w:p>
      <w:pPr>
        <w:adjustRightInd w:val="0"/>
        <w:snapToGrid w:val="0"/>
        <w:spacing w:line="360" w:lineRule="auto"/>
        <w:jc w:val="right"/>
        <w:rPr>
          <w:rFonts w:hint="default" w:ascii="Times New Roman" w:hAnsi="Times New Roman" w:eastAsia="仿宋_GB2312" w:cs="Times New Roman"/>
        </w:rPr>
      </w:pPr>
    </w:p>
    <w:p>
      <w:pPr>
        <w:adjustRightInd w:val="0"/>
        <w:snapToGrid w:val="0"/>
        <w:spacing w:line="360" w:lineRule="auto"/>
        <w:jc w:val="left"/>
        <w:rPr>
          <w:rFonts w:hint="default" w:ascii="Times New Roman" w:hAnsi="Times New Roman" w:eastAsia="仿宋_GB2312" w:cs="Times New Roman"/>
        </w:rPr>
      </w:pPr>
    </w:p>
    <w:p>
      <w:pPr>
        <w:adjustRightInd w:val="0"/>
        <w:snapToGrid w:val="0"/>
        <w:spacing w:line="360" w:lineRule="auto"/>
        <w:jc w:val="left"/>
        <w:rPr>
          <w:rFonts w:hint="default" w:ascii="Times New Roman" w:hAnsi="Times New Roman" w:eastAsia="仿宋_GB2312" w:cs="Times New Roman"/>
        </w:rPr>
      </w:pPr>
    </w:p>
    <w:p>
      <w:pPr>
        <w:tabs>
          <w:tab w:val="left" w:pos="1920"/>
        </w:tabs>
        <w:adjustRightInd w:val="0"/>
        <w:snapToGrid w:val="0"/>
        <w:spacing w:before="312" w:beforeLines="100" w:after="312" w:afterLines="100" w:line="600" w:lineRule="exact"/>
        <w:ind w:firstLine="470" w:firstLineChars="224"/>
        <w:jc w:val="center"/>
        <w:outlineLvl w:val="0"/>
        <w:rPr>
          <w:rFonts w:hint="default" w:ascii="Times New Roman" w:hAnsi="Times New Roman" w:eastAsia="仿宋_GB2312" w:cs="Times New Roman"/>
          <w:b/>
          <w:sz w:val="36"/>
          <w:szCs w:val="36"/>
        </w:rPr>
      </w:pPr>
      <w:r>
        <w:rPr>
          <w:rFonts w:hint="default" w:ascii="Times New Roman" w:hAnsi="Times New Roman" w:eastAsia="仿宋_GB2312" w:cs="Times New Roman"/>
        </w:rPr>
        <w:br w:type="page"/>
      </w:r>
      <w:r>
        <w:rPr>
          <w:rFonts w:hint="default" w:ascii="Times New Roman" w:hAnsi="Times New Roman" w:eastAsia="仿宋_GB2312" w:cs="Times New Roman"/>
          <w:b/>
          <w:sz w:val="36"/>
          <w:szCs w:val="36"/>
        </w:rPr>
        <w:t>第二部分  估价对象描述及租金影响因素分析</w:t>
      </w:r>
    </w:p>
    <w:p>
      <w:pPr>
        <w:keepNext w:val="0"/>
        <w:keepLines w:val="0"/>
        <w:pageBreakBefore w:val="0"/>
        <w:tabs>
          <w:tab w:val="left" w:pos="1920"/>
        </w:tabs>
        <w:kinsoku/>
        <w:wordWrap/>
        <w:overflowPunct/>
        <w:topLinePunct w:val="0"/>
        <w:bidi w:val="0"/>
        <w:adjustRightInd w:val="0"/>
        <w:snapToGrid w:val="0"/>
        <w:spacing w:before="156" w:beforeLines="50" w:after="156" w:afterLines="50" w:line="500" w:lineRule="exact"/>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一、估价对象描述</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b/>
          <w:bCs/>
          <w:kern w:val="0"/>
          <w:sz w:val="28"/>
          <w:szCs w:val="28"/>
        </w:rPr>
        <w:t>地块一，位于</w:t>
      </w:r>
      <w:r>
        <w:rPr>
          <w:rFonts w:hint="default" w:ascii="Times New Roman" w:hAnsi="Times New Roman" w:eastAsia="仿宋_GB2312" w:cs="Times New Roman"/>
          <w:b/>
          <w:bCs/>
          <w:sz w:val="28"/>
        </w:rPr>
        <w:t>东台河闸南首</w:t>
      </w:r>
      <w:r>
        <w:rPr>
          <w:rFonts w:hint="default" w:ascii="Times New Roman" w:hAnsi="Times New Roman" w:eastAsia="仿宋_GB2312" w:cs="Times New Roman"/>
          <w:b/>
          <w:bCs/>
          <w:kern w:val="0"/>
          <w:sz w:val="28"/>
          <w:szCs w:val="28"/>
        </w:rPr>
        <w:t>（淡水养殖）</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1、土地登记状况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1.1土地的来源与历史沿革：</w:t>
      </w:r>
      <w:r>
        <w:rPr>
          <w:rFonts w:hint="eastAsia" w:eastAsia="仿宋_GB2312" w:cs="Times New Roman"/>
          <w:sz w:val="28"/>
          <w:szCs w:val="28"/>
          <w:lang w:eastAsia="zh-CN"/>
        </w:rPr>
        <w:t>东台市金东台分公司</w:t>
      </w:r>
      <w:r>
        <w:rPr>
          <w:rFonts w:hint="default" w:ascii="Times New Roman" w:hAnsi="Times New Roman" w:eastAsia="仿宋_GB2312" w:cs="Times New Roman"/>
          <w:sz w:val="28"/>
          <w:szCs w:val="28"/>
        </w:rPr>
        <w:t>以划拨的方式取得估价对象的国有土地使用权，于1999年06月28日领取了由东台市国土管理局（现东台市自然资源和规划局）颁发的《国有土地使用证》（</w:t>
      </w:r>
      <w:r>
        <w:rPr>
          <w:rFonts w:hint="default" w:ascii="Times New Roman" w:hAnsi="Times New Roman" w:eastAsia="仿宋_GB2312" w:cs="Times New Roman"/>
          <w:sz w:val="28"/>
        </w:rPr>
        <w:t>东国用（1999）字第270004号</w:t>
      </w:r>
      <w:r>
        <w:rPr>
          <w:rFonts w:hint="default" w:ascii="Times New Roman" w:hAnsi="Times New Roman" w:eastAsia="仿宋_GB2312" w:cs="Times New Roman"/>
          <w:sz w:val="28"/>
          <w:szCs w:val="28"/>
        </w:rPr>
        <w:t>），并一直沿用至今。</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1.2宗地位置：</w:t>
      </w:r>
      <w:r>
        <w:rPr>
          <w:rFonts w:hint="default" w:ascii="Times New Roman" w:hAnsi="Times New Roman" w:eastAsia="仿宋_GB2312" w:cs="Times New Roman"/>
          <w:sz w:val="28"/>
        </w:rPr>
        <w:t>估价对象所在宗地位于东台河闸南首</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1.3</w:t>
      </w:r>
      <w:bookmarkStart w:id="3" w:name="_Hlk24731554"/>
      <w:r>
        <w:rPr>
          <w:rFonts w:hint="default" w:ascii="Times New Roman" w:hAnsi="Times New Roman" w:eastAsia="仿宋_GB2312" w:cs="Times New Roman"/>
          <w:sz w:val="28"/>
          <w:szCs w:val="28"/>
        </w:rPr>
        <w:t>宗地</w:t>
      </w:r>
      <w:bookmarkEnd w:id="3"/>
      <w:r>
        <w:rPr>
          <w:rFonts w:hint="default" w:ascii="Times New Roman" w:hAnsi="Times New Roman" w:eastAsia="仿宋_GB2312" w:cs="Times New Roman"/>
          <w:sz w:val="28"/>
          <w:szCs w:val="28"/>
        </w:rPr>
        <w:t>用途：</w:t>
      </w:r>
      <w:r>
        <w:rPr>
          <w:rFonts w:hint="default" w:ascii="Times New Roman" w:hAnsi="Times New Roman" w:eastAsia="仿宋_GB2312" w:cs="Times New Roman"/>
          <w:sz w:val="28"/>
        </w:rPr>
        <w:t>登记用途为</w:t>
      </w:r>
      <w:r>
        <w:rPr>
          <w:rFonts w:hint="default" w:ascii="Times New Roman" w:hAnsi="Times New Roman" w:eastAsia="仿宋_GB2312" w:cs="Times New Roman"/>
          <w:sz w:val="28"/>
          <w:szCs w:val="28"/>
        </w:rPr>
        <w:t>农用地</w:t>
      </w:r>
      <w:r>
        <w:rPr>
          <w:rFonts w:hint="default" w:ascii="Times New Roman" w:hAnsi="Times New Roman" w:eastAsia="仿宋_GB2312" w:cs="Times New Roman"/>
          <w:sz w:val="28"/>
        </w:rPr>
        <w:t>，本次评估的</w:t>
      </w:r>
      <w:r>
        <w:rPr>
          <w:rFonts w:hint="default" w:ascii="Times New Roman" w:hAnsi="Times New Roman" w:eastAsia="仿宋_GB2312" w:cs="Times New Roman"/>
          <w:sz w:val="28"/>
          <w:szCs w:val="28"/>
        </w:rPr>
        <w:t>现状用途为农用地（坑塘水面）。</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1.4宗地面积：</w:t>
      </w:r>
      <w:bookmarkStart w:id="4" w:name="_Hlk24731571"/>
      <w:r>
        <w:rPr>
          <w:rFonts w:hint="default" w:ascii="Times New Roman" w:hAnsi="Times New Roman" w:eastAsia="仿宋_GB2312" w:cs="Times New Roman"/>
          <w:sz w:val="28"/>
        </w:rPr>
        <w:t>登记土地面积为</w:t>
      </w:r>
      <w:r>
        <w:rPr>
          <w:rFonts w:hint="default" w:ascii="Times New Roman" w:hAnsi="Times New Roman" w:eastAsia="仿宋_GB2312" w:cs="Times New Roman"/>
          <w:sz w:val="28"/>
          <w:szCs w:val="28"/>
        </w:rPr>
        <w:t>35232.885</w:t>
      </w:r>
      <w:r>
        <w:rPr>
          <w:rFonts w:hint="default" w:ascii="Times New Roman" w:hAnsi="Times New Roman" w:eastAsia="仿宋_GB2312" w:cs="Times New Roman"/>
          <w:bCs/>
          <w:sz w:val="28"/>
          <w:szCs w:val="28"/>
        </w:rPr>
        <w:t>亩，本次评估坑塘水面（淡水养殖）面积为4173.15亩</w:t>
      </w:r>
      <w:r>
        <w:rPr>
          <w:rFonts w:hint="default" w:ascii="Times New Roman" w:hAnsi="Times New Roman" w:eastAsia="仿宋_GB2312" w:cs="Times New Roman"/>
          <w:sz w:val="28"/>
          <w:szCs w:val="28"/>
        </w:rPr>
        <w:t>。</w:t>
      </w:r>
      <w:bookmarkEnd w:id="4"/>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1.5使用权类型：划拨</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1.6终止日期：无终止日期</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2、土地权利状况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2.1土地所有者：在估价期日，估价对象的土地所有权属国家所有。</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2.2土地使用权：估价对象现使用权人</w:t>
      </w:r>
      <w:r>
        <w:rPr>
          <w:rFonts w:hint="eastAsia" w:eastAsia="仿宋_GB2312" w:cs="Times New Roman"/>
          <w:sz w:val="28"/>
          <w:szCs w:val="28"/>
          <w:lang w:eastAsia="zh-CN"/>
        </w:rPr>
        <w:t>东台市金东台分公司</w:t>
      </w:r>
      <w:r>
        <w:rPr>
          <w:rFonts w:hint="default" w:ascii="Times New Roman" w:hAnsi="Times New Roman" w:eastAsia="仿宋_GB2312" w:cs="Times New Roman"/>
          <w:sz w:val="28"/>
          <w:szCs w:val="28"/>
        </w:rPr>
        <w:t>，在估价期日二○二三年十二月三十一日，用途为农用地。</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2.3土地他项权利：估价对象在估价期日二○二三年十二月三十一日,委托方提供的资料中未见他项权利证书，根据估价目的，不考虑抵押、出租等他项权利对评估结果的影响。</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w:t>
      </w:r>
      <w:r>
        <w:rPr>
          <w:rFonts w:hint="default" w:ascii="Times New Roman" w:hAnsi="Times New Roman" w:eastAsia="仿宋_GB2312" w:cs="Times New Roman"/>
          <w:sz w:val="28"/>
        </w:rPr>
        <w:t>土地使用权取得方式：划拨。</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3、土地基础设施条件</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3.1宗地外基础设施条件：</w:t>
      </w:r>
      <w:r>
        <w:rPr>
          <w:rFonts w:hint="default" w:ascii="Times New Roman" w:hAnsi="Times New Roman" w:eastAsia="仿宋_GB2312" w:cs="Times New Roman"/>
          <w:sz w:val="28"/>
        </w:rPr>
        <w:t>宗地红线内外</w:t>
      </w:r>
      <w:bookmarkStart w:id="5" w:name="_Hlk24731047"/>
      <w:r>
        <w:rPr>
          <w:rFonts w:hint="default" w:ascii="Times New Roman" w:hAnsi="Times New Roman" w:eastAsia="仿宋_GB2312" w:cs="Times New Roman"/>
          <w:sz w:val="28"/>
        </w:rPr>
        <w:t>通路、通电、通沟渠泵站灌排水</w:t>
      </w:r>
      <w:r>
        <w:rPr>
          <w:rFonts w:hint="default" w:ascii="Times New Roman" w:hAnsi="Times New Roman" w:eastAsia="仿宋_GB2312" w:cs="Times New Roman"/>
          <w:sz w:val="28"/>
          <w:szCs w:val="28"/>
        </w:rPr>
        <w:t>。</w:t>
      </w:r>
      <w:bookmarkEnd w:id="5"/>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3.2宗地内平整状况：</w:t>
      </w:r>
      <w:r>
        <w:rPr>
          <w:rFonts w:hint="default" w:ascii="Times New Roman" w:hAnsi="Times New Roman" w:eastAsia="仿宋_GB2312" w:cs="Times New Roman"/>
          <w:sz w:val="28"/>
        </w:rPr>
        <w:t>具备养殖用地相应的土地平均整体开发水平</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4、土地利用状况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4.1土地利用现状</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在估价期日二</w:t>
      </w:r>
      <w:r>
        <w:rPr>
          <w:rFonts w:hint="default" w:ascii="Times New Roman" w:hAnsi="Times New Roman" w:eastAsia="微软雅黑" w:cs="Times New Roman"/>
          <w:sz w:val="28"/>
          <w:szCs w:val="28"/>
        </w:rPr>
        <w:t>〇</w:t>
      </w:r>
      <w:r>
        <w:rPr>
          <w:rFonts w:hint="default" w:ascii="Times New Roman" w:hAnsi="Times New Roman" w:eastAsia="仿宋_GB2312" w:cs="Times New Roman"/>
          <w:sz w:val="28"/>
          <w:szCs w:val="28"/>
        </w:rPr>
        <w:t>二三年十二月三十一日，待估土地为</w:t>
      </w:r>
      <w:r>
        <w:rPr>
          <w:rFonts w:hint="default" w:ascii="Times New Roman" w:hAnsi="Times New Roman" w:eastAsia="仿宋_GB2312" w:cs="Times New Roman"/>
          <w:sz w:val="28"/>
        </w:rPr>
        <w:t>养殖用地</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4.2土地利用条件</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估价对象已开发建设完成，现状为淡水养殖，宗地实际开发程度为红线外通路、通电、通沟渠泵站灌排水、具备养殖用地相应的土地平均整开发水平。</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b/>
          <w:bCs/>
          <w:kern w:val="0"/>
          <w:sz w:val="28"/>
          <w:szCs w:val="28"/>
        </w:rPr>
        <w:t>地块二，位于</w:t>
      </w:r>
      <w:r>
        <w:rPr>
          <w:rFonts w:hint="default" w:ascii="Times New Roman" w:hAnsi="Times New Roman" w:eastAsia="仿宋_GB2312" w:cs="Times New Roman"/>
          <w:b/>
          <w:bCs/>
          <w:sz w:val="28"/>
        </w:rPr>
        <w:t>东台河闸南首</w:t>
      </w:r>
      <w:r>
        <w:rPr>
          <w:rFonts w:hint="default" w:ascii="Times New Roman" w:hAnsi="Times New Roman" w:eastAsia="仿宋_GB2312" w:cs="Times New Roman"/>
          <w:b/>
          <w:bCs/>
          <w:kern w:val="0"/>
          <w:sz w:val="28"/>
          <w:szCs w:val="28"/>
        </w:rPr>
        <w:t>（</w:t>
      </w:r>
      <w:r>
        <w:rPr>
          <w:rFonts w:hint="default" w:ascii="Times New Roman" w:hAnsi="Times New Roman" w:eastAsia="仿宋_GB2312" w:cs="Times New Roman"/>
          <w:b/>
          <w:bCs/>
          <w:sz w:val="28"/>
        </w:rPr>
        <w:t>林地</w:t>
      </w:r>
      <w:r>
        <w:rPr>
          <w:rFonts w:hint="default" w:ascii="Times New Roman" w:hAnsi="Times New Roman" w:eastAsia="仿宋_GB2312" w:cs="Times New Roman"/>
          <w:b/>
          <w:bCs/>
          <w:kern w:val="0"/>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1、土地登记状况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1.1土地的来源与历史沿革：</w:t>
      </w:r>
      <w:r>
        <w:rPr>
          <w:rFonts w:hint="eastAsia" w:eastAsia="仿宋_GB2312" w:cs="Times New Roman"/>
          <w:sz w:val="28"/>
          <w:szCs w:val="28"/>
          <w:lang w:eastAsia="zh-CN"/>
        </w:rPr>
        <w:t>东台市金东台分公司</w:t>
      </w:r>
      <w:r>
        <w:rPr>
          <w:rFonts w:hint="default" w:ascii="Times New Roman" w:hAnsi="Times New Roman" w:eastAsia="仿宋_GB2312" w:cs="Times New Roman"/>
          <w:sz w:val="28"/>
          <w:szCs w:val="28"/>
        </w:rPr>
        <w:t>以划拨的方式取得估价对象的国有土地使用权，于1999年06月28日领取了由东台市国土管理局（现东台市自然资源和规划局）颁发的《国有土地使用证》（</w:t>
      </w:r>
      <w:r>
        <w:rPr>
          <w:rFonts w:hint="default" w:ascii="Times New Roman" w:hAnsi="Times New Roman" w:eastAsia="仿宋_GB2312" w:cs="Times New Roman"/>
          <w:sz w:val="28"/>
        </w:rPr>
        <w:t>东国用（1999）字第270004号</w:t>
      </w:r>
      <w:r>
        <w:rPr>
          <w:rFonts w:hint="default" w:ascii="Times New Roman" w:hAnsi="Times New Roman" w:eastAsia="仿宋_GB2312" w:cs="Times New Roman"/>
          <w:sz w:val="28"/>
          <w:szCs w:val="28"/>
        </w:rPr>
        <w:t>），并一直沿用至今。</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1.2宗地位置：</w:t>
      </w:r>
      <w:r>
        <w:rPr>
          <w:rFonts w:hint="default" w:ascii="Times New Roman" w:hAnsi="Times New Roman" w:eastAsia="仿宋_GB2312" w:cs="Times New Roman"/>
          <w:sz w:val="28"/>
        </w:rPr>
        <w:t>估价对象所在宗地位于东台河闸南首</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1.3宗地用途：</w:t>
      </w:r>
      <w:r>
        <w:rPr>
          <w:rFonts w:hint="default" w:ascii="Times New Roman" w:hAnsi="Times New Roman" w:eastAsia="仿宋_GB2312" w:cs="Times New Roman"/>
          <w:sz w:val="28"/>
        </w:rPr>
        <w:t>登记用途为</w:t>
      </w:r>
      <w:r>
        <w:rPr>
          <w:rFonts w:hint="default" w:ascii="Times New Roman" w:hAnsi="Times New Roman" w:eastAsia="仿宋_GB2312" w:cs="Times New Roman"/>
          <w:sz w:val="28"/>
          <w:szCs w:val="28"/>
        </w:rPr>
        <w:t>农用地</w:t>
      </w:r>
      <w:r>
        <w:rPr>
          <w:rFonts w:hint="default" w:ascii="Times New Roman" w:hAnsi="Times New Roman" w:eastAsia="仿宋_GB2312" w:cs="Times New Roman"/>
          <w:sz w:val="28"/>
        </w:rPr>
        <w:t>，本次评估的</w:t>
      </w:r>
      <w:r>
        <w:rPr>
          <w:rFonts w:hint="default" w:ascii="Times New Roman" w:hAnsi="Times New Roman" w:eastAsia="仿宋_GB2312" w:cs="Times New Roman"/>
          <w:sz w:val="28"/>
          <w:szCs w:val="28"/>
        </w:rPr>
        <w:t>现状用途为农用地（</w:t>
      </w:r>
      <w:r>
        <w:rPr>
          <w:rFonts w:hint="default" w:ascii="Times New Roman" w:hAnsi="Times New Roman" w:eastAsia="仿宋_GB2312" w:cs="Times New Roman"/>
          <w:bCs/>
          <w:sz w:val="28"/>
          <w:szCs w:val="28"/>
        </w:rPr>
        <w:t>林地</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1.4宗地面积：</w:t>
      </w:r>
      <w:r>
        <w:rPr>
          <w:rFonts w:hint="default" w:ascii="Times New Roman" w:hAnsi="Times New Roman" w:eastAsia="仿宋_GB2312" w:cs="Times New Roman"/>
          <w:sz w:val="28"/>
        </w:rPr>
        <w:t>登记土地面积为</w:t>
      </w:r>
      <w:r>
        <w:rPr>
          <w:rFonts w:hint="default" w:ascii="Times New Roman" w:hAnsi="Times New Roman" w:eastAsia="仿宋_GB2312" w:cs="Times New Roman"/>
          <w:sz w:val="28"/>
          <w:szCs w:val="28"/>
        </w:rPr>
        <w:t>35232.885</w:t>
      </w:r>
      <w:r>
        <w:rPr>
          <w:rFonts w:hint="default" w:ascii="Times New Roman" w:hAnsi="Times New Roman" w:eastAsia="仿宋_GB2312" w:cs="Times New Roman"/>
          <w:bCs/>
          <w:sz w:val="28"/>
          <w:szCs w:val="28"/>
        </w:rPr>
        <w:t>亩，本次评估林地面积为659.52亩</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1.5使用权类型：划拨</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1.6终止日期：无终止日期</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2、土地权利状况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2.1土地所有者：在估价期日，估价对象的土地所有权属国家所有。</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2.2土地使用权：估价对象现使用权人</w:t>
      </w:r>
      <w:r>
        <w:rPr>
          <w:rFonts w:hint="eastAsia" w:eastAsia="仿宋_GB2312" w:cs="Times New Roman"/>
          <w:sz w:val="28"/>
          <w:szCs w:val="28"/>
          <w:lang w:eastAsia="zh-CN"/>
        </w:rPr>
        <w:t>东台市金东台分公司</w:t>
      </w:r>
      <w:r>
        <w:rPr>
          <w:rFonts w:hint="default" w:ascii="Times New Roman" w:hAnsi="Times New Roman" w:eastAsia="仿宋_GB2312" w:cs="Times New Roman"/>
          <w:sz w:val="28"/>
          <w:szCs w:val="28"/>
        </w:rPr>
        <w:t>，在估价期日二○二三年十二月三十一日，用途为农用地。</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2.3土地他项权利：估价对象在估价期日二○二三年十二月三十一日,委托方提供的资料中未见他项权利证书，根据估价目的，不考虑抵押、出租等他项权利对评估结果的影响。</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w:t>
      </w:r>
      <w:r>
        <w:rPr>
          <w:rFonts w:hint="default" w:ascii="Times New Roman" w:hAnsi="Times New Roman" w:eastAsia="仿宋_GB2312" w:cs="Times New Roman"/>
          <w:sz w:val="28"/>
        </w:rPr>
        <w:t>土地使用权取得方式：划拨。</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3、土地基础设施条件</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3.1宗地外基础设施条件：</w:t>
      </w:r>
      <w:r>
        <w:rPr>
          <w:rFonts w:hint="default" w:ascii="Times New Roman" w:hAnsi="Times New Roman" w:eastAsia="仿宋_GB2312" w:cs="Times New Roman"/>
          <w:sz w:val="28"/>
        </w:rPr>
        <w:t>宗地红线内外通路、通电、通沟渠泵站灌排水</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3.2宗地内平整状况：</w:t>
      </w:r>
      <w:r>
        <w:rPr>
          <w:rFonts w:hint="default" w:ascii="Times New Roman" w:hAnsi="Times New Roman" w:eastAsia="仿宋_GB2312" w:cs="Times New Roman"/>
          <w:sz w:val="28"/>
        </w:rPr>
        <w:t>具备种植用地相应的土地平均整体开发水平</w:t>
      </w:r>
    </w:p>
    <w:p>
      <w:pPr>
        <w:keepNext w:val="0"/>
        <w:keepLines w:val="0"/>
        <w:pageBreakBefore w:val="0"/>
        <w:tabs>
          <w:tab w:val="left" w:pos="1920"/>
        </w:tabs>
        <w:kinsoku/>
        <w:wordWrap/>
        <w:overflowPunct/>
        <w:topLinePunct w:val="0"/>
        <w:bidi w:val="0"/>
        <w:adjustRightInd w:val="0"/>
        <w:snapToGrid w:val="0"/>
        <w:spacing w:line="500" w:lineRule="exact"/>
        <w:ind w:firstLine="630"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4、土地利用状况</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4.1土地利用现状</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在估价期日二</w:t>
      </w:r>
      <w:r>
        <w:rPr>
          <w:rFonts w:hint="default" w:ascii="Times New Roman" w:hAnsi="Times New Roman" w:eastAsia="微软雅黑" w:cs="Times New Roman"/>
          <w:sz w:val="28"/>
          <w:szCs w:val="28"/>
        </w:rPr>
        <w:t>〇</w:t>
      </w:r>
      <w:r>
        <w:rPr>
          <w:rFonts w:hint="default" w:ascii="Times New Roman" w:hAnsi="Times New Roman" w:eastAsia="仿宋_GB2312" w:cs="Times New Roman"/>
          <w:sz w:val="28"/>
          <w:szCs w:val="28"/>
        </w:rPr>
        <w:t>二三年十二月三十一日，待估土地为</w:t>
      </w:r>
      <w:r>
        <w:rPr>
          <w:rFonts w:hint="default" w:ascii="Times New Roman" w:hAnsi="Times New Roman" w:eastAsia="仿宋_GB2312" w:cs="Times New Roman"/>
          <w:sz w:val="28"/>
        </w:rPr>
        <w:t>林地</w:t>
      </w:r>
      <w:r>
        <w:rPr>
          <w:rFonts w:hint="default" w:ascii="Times New Roman" w:hAnsi="Times New Roman" w:eastAsia="仿宋_GB2312" w:cs="Times New Roman"/>
          <w:sz w:val="28"/>
          <w:szCs w:val="28"/>
        </w:rPr>
        <w:t>。</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4.2土地利用条件</w:t>
      </w:r>
    </w:p>
    <w:p>
      <w:pPr>
        <w:keepNext w:val="0"/>
        <w:keepLines w:val="0"/>
        <w:pageBreakBefore w:val="0"/>
        <w:widowControl/>
        <w:kinsoku/>
        <w:wordWrap/>
        <w:overflowPunct/>
        <w:topLinePunct w:val="0"/>
        <w:bidi w:val="0"/>
        <w:spacing w:line="500" w:lineRule="exact"/>
        <w:ind w:firstLine="560"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sz w:val="28"/>
          <w:szCs w:val="28"/>
        </w:rPr>
        <w:t>估价对象已开发建设完成，现状为林地，宗地实际开发程度为红线外通路、通电、通沟渠泵站灌排水、具备林地相应的土地平均整开发水平。</w:t>
      </w:r>
    </w:p>
    <w:p>
      <w:pPr>
        <w:keepNext w:val="0"/>
        <w:keepLines w:val="0"/>
        <w:pageBreakBefore w:val="0"/>
        <w:tabs>
          <w:tab w:val="left" w:pos="1920"/>
        </w:tabs>
        <w:kinsoku/>
        <w:wordWrap/>
        <w:overflowPunct/>
        <w:topLinePunct w:val="0"/>
        <w:bidi w:val="0"/>
        <w:adjustRightInd w:val="0"/>
        <w:snapToGrid w:val="0"/>
        <w:spacing w:before="156" w:beforeLines="50" w:after="156" w:afterLines="50" w:line="500" w:lineRule="exact"/>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二、影响地价的因素说明</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1.自然因素</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1.1.1城镇地理位置</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东台市，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"https://baike.baidu.com/item/%E6%B1%9F%E8%8B%8F%E7%9C%81/320938?fromModule=lemma_inlink"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江苏省</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辖县级市，由</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"https://baike.baidu.com/item/%E7%9B%90%E5%9F%8E%E5%B8%82/5096789?fromModule=lemma_inlink"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盐城市</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代管，东台市地处</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"https://baike.baidu.com/item/%E6%B1%9F%E8%8B%8F%E7%9C%81/320938?fromModule=lemma_inlink"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江苏省</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沿海中部，长江三角洲北翼，位于东经120°07′～120°53′，北纬32°33′～32°57′之间，东与黄海相连，南与南通市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"https://baike.baidu.com/item/%E6%B5%B7%E5%AE%89%E5%B8%82/19902989?fromModule=lemma_inlink"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海安市</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接壤，西与泰州市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"https://baike.baidu.com/item/%E5%85%B4%E5%8C%96%E5%B8%82/8763158?fromModule=lemma_inlink"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兴化市</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毗邻，北与盐城市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"https://baike.baidu.com/item/%E5%A4%A7%E4%B8%B0%E5%8C%BA/1009257?fromModule=lemma_inlink"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大丰区</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交界，市域总面积3175.67平方公里。</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1.1.2地势、地貌</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ascii="Times New Roman" w:eastAsia="仿宋_GB2312" w:cs="Times New Roman"/>
          <w:kern w:val="2"/>
          <w:sz w:val="28"/>
          <w:szCs w:val="28"/>
        </w:rPr>
        <w:t>东台境内地势平坦，地面高程1.4～5.1米，大部分地区在2.6～4.6米之间，范公堤（老204国道）贯穿南北，将全市分成堤东、堤西两大自然板块：堤西属苏北里下河碟形洼地东部碟缘平原，东北高平，西南低洼，为著名时溱洼地；堤东地区为黄河夺淮后泥沙淤积形成的滨海平原，海岸线以东约50公里的东沙岛已高出零线以上，为江（长江）淮（淮河）两大水系冲击回流之沉积岛</w:t>
      </w:r>
      <w:r>
        <w:rPr>
          <w:rFonts w:hint="default" w:ascii="Times New Roman" w:hAnsi="Times New Roman" w:eastAsia="仿宋_GB2312" w:cs="Times New Roman"/>
          <w:sz w:val="28"/>
        </w:rPr>
        <w:t>。</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1.1.3气候、水文</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东台市位于中纬度</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"https://baike.baidu.com/item/%E4%BA%9A%E6%B4%B2%E5%A4%A7%E9%99%86/17497501?fromModule=lemma_inlink"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亚洲大陆</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东岸，属亚热带和暖温带的过渡区，季风显著，四季分明，雨量集中，雨热同季，冬冷夏热，春温多变，秋高气爽，日照充足。常年平均气温15.0℃，无霜期220天，降水量1061.2毫米，日照2130.5小时。</w:t>
      </w:r>
    </w:p>
    <w:p>
      <w:pPr>
        <w:pStyle w:val="19"/>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东台市隶属</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"https://baike.baidu.com/item/%E6%B7%AE%E6%B2%B3/230880?fromModule=lemma_inlink"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0"/>
        </w:rPr>
        <w:t>淮河</w:t>
      </w:r>
      <w:r>
        <w:rPr>
          <w:rFonts w:hint="default" w:ascii="Times New Roman" w:hAnsi="Times New Roman" w:eastAsia="仿宋_GB2312" w:cs="Times New Roman"/>
          <w:sz w:val="28"/>
          <w:szCs w:val="20"/>
        </w:rPr>
        <w:fldChar w:fldCharType="end"/>
      </w:r>
      <w:r>
        <w:rPr>
          <w:rFonts w:hint="default" w:ascii="Times New Roman" w:hAnsi="Times New Roman" w:eastAsia="仿宋_GB2312" w:cs="Times New Roman"/>
          <w:sz w:val="28"/>
          <w:szCs w:val="20"/>
        </w:rPr>
        <w:t>下游水系，通榆河贯穿南北，将该市分为堤西、堤东两大水系分区，堤西为里下河圩区，堤东为垦区。市内沟河纵横分布，构成水脉相通的水网系统，承纳上游来水、输送当地径流入海。全市有中沟级（含中沟）以上河道2799条，其中县级以上河道36条、城市河道70条、镇级河道762条、村级河道1931条；其他县（市）级河道35条。全市县级以上36条骨干河道中列入《江苏省骨干河道名录》的25条，包括：</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"https://baike.baidu.com/item/%E9%80%9A%E6%A6%86%E6%B2%B3/9240290?fromModule=lemma_inlink"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0"/>
        </w:rPr>
        <w:t>通榆河</w:t>
      </w:r>
      <w:r>
        <w:rPr>
          <w:rFonts w:hint="default" w:ascii="Times New Roman" w:hAnsi="Times New Roman" w:eastAsia="仿宋_GB2312" w:cs="Times New Roman"/>
          <w:sz w:val="28"/>
          <w:szCs w:val="20"/>
        </w:rPr>
        <w:fldChar w:fldCharType="end"/>
      </w:r>
      <w:r>
        <w:rPr>
          <w:rFonts w:hint="default" w:ascii="Times New Roman" w:hAnsi="Times New Roman" w:eastAsia="仿宋_GB2312" w:cs="Times New Roman"/>
          <w:sz w:val="28"/>
          <w:szCs w:val="2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"https://baike.baidu.com/item/%E6%B3%B0%E4%B8%9C%E6%B2%B3/5416754?fromModule=lemma_inlink"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0"/>
        </w:rPr>
        <w:t>泰东河</w:t>
      </w:r>
      <w:r>
        <w:rPr>
          <w:rFonts w:hint="default" w:ascii="Times New Roman" w:hAnsi="Times New Roman" w:eastAsia="仿宋_GB2312" w:cs="Times New Roman"/>
          <w:sz w:val="28"/>
          <w:szCs w:val="20"/>
        </w:rPr>
        <w:fldChar w:fldCharType="end"/>
      </w:r>
      <w:r>
        <w:rPr>
          <w:rFonts w:hint="default" w:ascii="Times New Roman" w:hAnsi="Times New Roman" w:eastAsia="仿宋_GB2312" w:cs="Times New Roman"/>
          <w:sz w:val="28"/>
          <w:szCs w:val="20"/>
        </w:rPr>
        <w:t>2条流域性骨干河道，车路河、姜溱河、川东港—丁溪河3条区域性骨干河道，梓辛河、幸福河、蚌蜒河、海溱河、串场河、何垛河、丁堡河、西潘堡河、东潘堡河、红星河、北凌河、南官河12条重要跨县河道，先进河、安时河、东台河、梁垛河、三仓河、安弶河、方塘河、头富河8条重要县域河道。</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1.2社会经济因素</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1.2.1经济发展水平</w:t>
      </w:r>
    </w:p>
    <w:p>
      <w:pPr>
        <w:keepNext w:val="0"/>
        <w:keepLines w:val="0"/>
        <w:pageBreakBefore w:val="0"/>
        <w:widowControl/>
        <w:shd w:val="clear" w:color="auto" w:fill="FFFFFF"/>
        <w:kinsoku/>
        <w:wordWrap/>
        <w:overflowPunct/>
        <w:topLinePunct w:val="0"/>
        <w:bidi w:val="0"/>
        <w:spacing w:line="500" w:lineRule="exact"/>
        <w:ind w:firstLine="640"/>
        <w:jc w:val="left"/>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经济运行稳中向好。2021年实现地区生产总值986.1亿元，按可比价格计算增长8.9%，两年平均增长7.3%。其中，第一产业增加值142.9亿元，增长6.2%；第二产业增加值353.6亿元，增长9.5%；第三产业增加值489.6亿元，增长9.3%。经济结构不断优化，三次产业增加值比例为14.5:35.9:49.6，制造业增加值占GDP比重29.9%，比上年提高0.8个百分点。全年人均地区生产总值110963元，增长8.9%。</w:t>
      </w:r>
    </w:p>
    <w:p>
      <w:pPr>
        <w:keepNext w:val="0"/>
        <w:keepLines w:val="0"/>
        <w:pageBreakBefore w:val="0"/>
        <w:widowControl/>
        <w:shd w:val="clear" w:color="auto" w:fill="FFFFFF"/>
        <w:kinsoku/>
        <w:wordWrap/>
        <w:overflowPunct/>
        <w:topLinePunct w:val="0"/>
        <w:bidi w:val="0"/>
        <w:spacing w:line="500" w:lineRule="exact"/>
        <w:ind w:firstLine="640"/>
        <w:jc w:val="left"/>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就业政策落实有力。2021年实现新增就业30023人，城镇登记失业率2.28%。引进高校毕业生4350人，累计兑现大学生和专门人才政策资金1900多万元。开发六批公益性岗位407个，推动56个扶贫车间累计吸纳1000多名低收入农户实现就业，面向城乡劳动者提供就业技能培训5362人次。年末工商部门登记的私营企业3.33万户，全年新登记私营企业0.64万户；年末登记个体经营户6.6万户，全年新登记个体户0.77万户。</w:t>
      </w:r>
    </w:p>
    <w:p>
      <w:pPr>
        <w:keepNext w:val="0"/>
        <w:keepLines w:val="0"/>
        <w:pageBreakBefore w:val="0"/>
        <w:widowControl/>
        <w:shd w:val="clear" w:color="auto" w:fill="FFFFFF"/>
        <w:kinsoku/>
        <w:wordWrap/>
        <w:overflowPunct/>
        <w:topLinePunct w:val="0"/>
        <w:bidi w:val="0"/>
        <w:spacing w:line="500" w:lineRule="exact"/>
        <w:ind w:firstLine="640"/>
        <w:jc w:val="left"/>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人口总量基本稳定。2021年末全市户籍人口105.46万人，比上年减少1.76万人，其中城镇人口67.84万人，乡村人口37.63万人。全年出生人口4141人，人口出生率为3.92‰；死亡人口14257人，人口死亡率为13.52‰，人口自然增长率为-9.59‰。在户籍人口中，18岁以下人口11.46万人，18-34岁人口17.19万人，35-59岁人口42.71万人，60岁及以上人口34.11万人。年末全市常住人口88.88万人，城镇化率达59.73%，比上年提高0.68个百分点。</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工业经济质态良好。全年全口径工业开票销售1324亿元，比上年增长24.9%，其中规模以上工业开票销售852亿元，增长12.8%，规模以上工业应税销售810.4亿元，增长12.8%。规模以上工业总产值比上年增长20.3%，规模以上工业增加值比上年增长18.3%。全社会用电量55.6亿千瓦时，比上年增长13.3%，其中工业用电量37.6亿千瓦时，增长11.4%。工业企业利润较快增长，全年规模以上工业企业实现营业收入805.2亿元，增长11.5%；利润总额60.9亿元，增长36.0%。</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新兴动能加速领跑。全年实现高技术产业产值111.3亿元，比上年增长32.7%，高于规模以上工业增速12.4个百分点，占全部规模以上工业的13.9%，拉动全市增幅4.1个百分点。其中：电子通信设备制造业实现产值93.4亿元，增长38.7%；医药制造业实现产值14.5亿元，增长20.1%。全市189家战新产业企业实现产值384.6亿元，增长37.8%。</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建筑业稳定健康发展。全年实现建筑业总产值144.2亿元，比上年增长7.1%；竣工产值98.3亿元，竣工率34.3%。建筑业企业实现利税总额6.9亿元。房屋建筑施工面积1554万平方米，比上年增长27.5%；竣工面积532.4万平方米，比上年增长0.9%，其中住宅竣工面积221.2万平方米。</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投资结构持续优化。全年完成固定资产投资418亿元。其中，制造业投资235.5亿元，占全部固定资产投资比重达56.3%，比上年提高14个百分点；服务业投资152.92亿元；房地产开发投资47.6亿元；高技术产业投资111.6亿元，占全部固定资产投资比重26.7%，比上年提高7.2个百分点。</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重大项目实现突破。全市共签约项目157个，计划总投资520亿元，其中领胜智能模组、凯盛三新2个项目投资级别达50亿。新开工、竣工亿元以上项目72个、46个，创历史最好水平。全年通过评审5000万元以上项目100个，比上年净增11个，其中10亿元以上项目同比增加8个。</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房地产销售业绩良好。全年商品房销售面积160.4万平方米，比上年增长18.3%；销售额122.9亿元，比上年增长21.4%。其中住宅销售面积135.1万平方米，增长11.8%；销售额110.7亿元，增长20.8%。</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消费市场稳定向好。全年完成社会消费品零售总额300.9亿元，比上年增长22.5%。分行业看，限上批发、零售业商品销售额为198.3亿元、51.3亿元，分别增长56.7%、25.2%；限上住宿、餐饮业营业额为1.4亿元、5.7亿元，分别增长34.1%、26.9%。基本生活消费类商品增速稳定，限额以上粮油食品类、饮料类、烟酒类分别增长21.8%、89.8%、16.6%。消费升级类商品需求持续释放，限额以上金银珠宝类增长20.6%；电子消费类商品规模持续扩大，家用电器和音像器材类增长18.1%，智能手机类累计销售额16.7亿元，占全部销售总额的6.5%，比三季度提升3.1个百分点。</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外资外贸规模持续扩大。全年实现进出口总额14.2亿美元，比上年增长13.3%，其中，出口总额13亿美元，增长9.7%；进口总额1.2亿美元，增长72.5%。利用外资增速继续保持稳定，全年实际利用外资1.2亿美元，比上年增长10.5%。</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邮政电信质效提升。全年邮政业务总量4.8亿元，比上年增长15.3%。全年快递服务企业业务量3123.8万件，比上年增长16.2%；实现快递业务收入1.4亿元，比上年增长32.9%。电信业务收入7.1亿元，比上年增长7.3%。年末互联网宽带接入用户37.1万户，新增2.9万户，比上年增长8.5%。5G基站快速布局，全年新建5G宏站343座，已实现主城区、乡镇镇区和重要路口等地段全覆盖。</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旅游业加速发展。全年接待境内外游客737.5万人次，比上年增长35.7%；实现旅游业总收入94.8亿元，比上年增长34.4%。新增国家4A级景区1家，共计4家；拥有省级旅游度假区1家。连续第3年入选中国县域旅游综合竞争力百强县市。条子泥获批国家4A级景区。笆斗村跻身全国乡村旅游重点村，入选全国红色旅游百条精品线路。天仙缘实景演出、安丰古镇入选省“运河百景”标志性文旅产品。西溪景区创成省级夜间文旅消费集聚区、省级智慧景区，入选省级文化产业示范园区培育单位。</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财政收入稳定增长。全年完成一般公共预算收入60.3亿元，比上年增长10.4%，其中，税收收入47亿元，税收比重78%。主体税种持续增长，实现增值税、企业所得税、个人所得税22.5亿元、6.4亿元、3.4亿元，分别增长9.8%、37.9%、26.0%。</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支出结构持续改善。全年完成一般公共预算支出127.8亿元，比上年增长8.0%。其中，教育支出13.7亿元，增长9.2%；公共安全支出4.4亿元，增长9.4%；卫生健康支出16.0亿元，增长16.3%；住房保障支出10.2亿元，增长20.4%。</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金融信贷规模扩大。年末全市金融机构人民币存款余额1189.7亿元，比上年增长11.4%。其中，住户存款余额856.7亿元，增长11.5%；非金融企业存款244.9亿元，增长17.6%。年末金融机构人民币贷款余额829.9亿元，比上年增长14.3%。其中，中长期贷款余额183.0亿元，增长17.6%；非金融企业及机关团体贷款余额528.4亿元，增长11.5%。</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农业经济稳定增长。全年实现农林牧渔业增加值151亿元，按可比价格计算增长6.2%。实现农林牧渔业总产值264.6亿元，比上年增长11.5%。其中，农业产值132.5亿元，增长23.8%；牧业产值63.3亿元，增长2.7%；渔业产值48.4亿元，增长1.1%；农林牧渔业服务业产值15.5亿元，增长5.7%。</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农产品生产保持平稳。全年粮食总产量102.32万吨，与上年持平，粮食综合单产462公斤/亩；出栏生猪83.9万头，比上年增长8.9%，存栏56.5万头，比上年增长5.7%；家禽存栏3448.6万只，比上年增长6.4%，出栏3168.6万只，比上年增长5.5%；禽蛋产量35万吨，比上年增长2.1%；水产品产量19万吨，比上年增长1.8%，其中，淡水水产品产量9.3万吨，增长2.8%，海水水产品产量9.7万吨，增长0.9%。</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现代农业加快发展。全市新建高标准农田10.9万亩，农作物耕种收机械化率达80.24%。年末农业机械总动力109.74万千瓦，比上年增长4.02%。新增绿色有机农产品24个，总数达127个，绿色优质农产品比重提高到71.05%。全市年末高效设施农业面积4.1万公顷，与上年持平。成功入围全国首批农业现代化示范区创建名单，获评中国乡村振兴百佳示范县市、全国县域农业农村信息化发展先进市等。品牌建设提质增效，弶港文蛤、弶港泥螺新获国家地理标志农产品认证。“东台西瓜”蝉联全省十强农产品区域公用品牌、跃升第一名，获扬州世界园博会金奖。</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28"/>
          <w:sz w:val="28"/>
          <w:szCs w:val="28"/>
        </w:rPr>
      </w:pPr>
      <w:r>
        <w:rPr>
          <w:rFonts w:hint="default" w:ascii="Times New Roman" w:hAnsi="Times New Roman" w:eastAsia="仿宋_GB2312" w:cs="Times New Roman"/>
          <w:kern w:val="28"/>
          <w:sz w:val="28"/>
          <w:szCs w:val="28"/>
        </w:rPr>
        <w:t>1.3交通体系</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东台市有4个长途客运站：东台市一级客运站、安丰二级客运、富安客运站、新街客运站。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东台市已经融入上海两小时经济圈，是苏北接轨上海和接受</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"https://baike.baidu.com/item/%E8%8B%8F%E5%8D%97/24746?fromModule=lemma_inlink"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苏南</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产业辐射的第一站。随着江苏沿海开发正式上升为国家战略，作为江苏沿海中部重要的节点城市。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"https://baike.baidu.com/item/204%E5%9B%BD%E9%81%93/703382?fromModule=lemma_inlink"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204国道</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，G228国道，</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"https://baike.baidu.com/item/G344/22682262?fromModule=lemma_inlink"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G344</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国道，229省道，226省道，304省道，352省道，610省道，403省道海高速公路，东兴高速规划建设落地，在S610省道南侧接入东台G15高速，在新老204国道各设置一个互通，方便城区利用，远期规划东兴高速沿海东段，在市域中部贯通东西，形成“十”字型高速公路覆盖。</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bookmarkStart w:id="6" w:name="9-2"/>
      <w:bookmarkEnd w:id="6"/>
      <w:bookmarkStart w:id="7" w:name="9_2"/>
      <w:bookmarkEnd w:id="7"/>
      <w:bookmarkStart w:id="8" w:name="铁路"/>
      <w:bookmarkEnd w:id="8"/>
      <w:bookmarkStart w:id="9" w:name="sub37443_9_2"/>
      <w:bookmarkEnd w:id="9"/>
      <w:r>
        <w:rPr>
          <w:rFonts w:hint="default" w:ascii="Times New Roman" w:hAnsi="Times New Roman" w:eastAsia="仿宋_GB2312" w:cs="Times New Roman"/>
          <w:kern w:val="0"/>
          <w:sz w:val="28"/>
          <w:szCs w:val="20"/>
        </w:rPr>
        <w:t>交通运输基本平稳。2021全年旅客运输量713万人，比上年增长36.2%；货物运输量5212.6万吨，比上年增长8.6%。旅客周转量6.24亿人公里，比上年增长11.9%；货物周转量83.1亿吨公里，比上年增长7%。年末全市公路里程4497.2公里，比上年增长0.1%。年末等级公路里程4497.2公里，比上年增长0.1%，其中，高速公路里程35.5公里，与上年持平；一级公路里程289.59公里，增长2%。</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汽车保有量稳步增长。2021年末民用汽车保有量15.9万辆，比上年增长7.3%，净增1.1万辆。年末私人汽车保有量13.8万辆，比上年增长8.5%，净增1.08万辆。其中，私人轿车保有量13.5万辆，增长8.8%，净增1.1万辆。</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铁路</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东台市内共有</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"https://baike.baidu.com/item/%E4%B8%9C%E5%8F%B0%E7%AB%99/3436565?fromModule=lemma_inlink"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东台站</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（客货运）、</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"https://baike.baidu.com/item/%E5%AF%8C%E5%AE%89%E7%AB%99/4151986?fromModule=lemma_inlink"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富安站</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（货运）两个火车站。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东台站是盐通铁路第一大火车站，位于东台市北海路288号，站内有盐通铁路、新长铁路和东泰联络线接入，设立大修车间和货运站各一座，于1998年铺建新长铁路时开工兴建。离南京站259公里，离盐城站63公里，隶属</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"https://baike.baidu.com/item/%E4%B8%AD%E5%9B%BD%E9%93%81%E8%B7%AF%E4%B8%8A%E6%B5%B7%E5%B1%80%E9%9B%86%E5%9B%A2%E6%9C%89%E9%99%90%E5%85%AC%E5%8F%B8/22208918?fromModule=lemma_inlink"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中国铁路上海局集团有限公司</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管辖。现为综合</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"https://baike.baidu.com/item/%E4%BA%8C%E7%AD%89%E7%AB%99/10936963?fromModule=lemma_inlink"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二等站</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盐城到南通客运专线建成，东台站将通350km/h的高铁，规划建筑面积为20000平方米东台高铁站。盐通苏嘉城际铁路建成后，东台将实现一小时到达上海和省内各市，深度融入长三角经济圈。同时，实施新长铁路复线电气化改造，保留普客运输，强化货物运输功能，并预留我市至沿海经济区铁路支线接口，支持支撑进出口运输，服务沿海开发。</w:t>
      </w:r>
    </w:p>
    <w:p>
      <w:pPr>
        <w:keepNext w:val="0"/>
        <w:keepLines w:val="0"/>
        <w:pageBreakBefore w:val="0"/>
        <w:kinsoku/>
        <w:wordWrap/>
        <w:overflowPunct/>
        <w:topLinePunct w:val="0"/>
        <w:bidi w:val="0"/>
        <w:spacing w:line="500" w:lineRule="exact"/>
        <w:ind w:firstLine="420" w:firstLineChars="200"/>
        <w:rPr>
          <w:rFonts w:hint="default" w:ascii="Times New Roman" w:hAnsi="Times New Roman" w:eastAsia="仿宋_GB2312" w:cs="Times New Roman"/>
          <w:kern w:val="0"/>
          <w:sz w:val="28"/>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"https://baike.baidu.com/item/%E5%AF%8C%E5%AE%89%E7%AB%99?fromModule=lemma_inlink"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富安站</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站址在江苏省东台市富安镇，于铺建</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"https://baike.baidu.com/item/%E6%96%B0%E9%95%BF%E9%93%81%E8%B7%AF?fromModule=lemma_inlink"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新长铁路</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时开工兴建。富安站离盐城站89公里，隶属</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"https://baike.baidu.com/item/%E4%B8%8A%E6%B5%B7%E9%93%81%E8%B7%AF%E5%B1%80?fromModule=lemma_inlink"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上海铁路局</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管辖。现为</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"https://baike.baidu.com/item/%E4%BA%94%E7%AD%89%E7%AB%99?fromModule=lemma_inlink" \t "https://baike.baidu.com/item/%E4%B8%9C%E5%8F%B0/_blank"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szCs w:val="20"/>
        </w:rPr>
        <w:t>五等站</w:t>
      </w:r>
      <w:r>
        <w:rPr>
          <w:rFonts w:hint="default" w:ascii="Times New Roman" w:hAnsi="Times New Roman" w:eastAsia="仿宋_GB2312" w:cs="Times New Roman"/>
          <w:kern w:val="0"/>
          <w:sz w:val="28"/>
          <w:szCs w:val="20"/>
        </w:rPr>
        <w:fldChar w:fldCharType="end"/>
      </w:r>
      <w:r>
        <w:rPr>
          <w:rFonts w:hint="default" w:ascii="Times New Roman" w:hAnsi="Times New Roman" w:eastAsia="仿宋_GB2312" w:cs="Times New Roman"/>
          <w:kern w:val="0"/>
          <w:sz w:val="28"/>
          <w:szCs w:val="20"/>
        </w:rPr>
        <w:t>。</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1.4土地制度</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1.4.1耕作制度</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kern w:val="0"/>
          <w:sz w:val="28"/>
          <w:szCs w:val="20"/>
        </w:rPr>
        <w:t>估价对象所在区域主要为灌溉水田花、玉米及辣根，一般以一年为生长周期，一年内可以种两及旱地，主要种植水稻、小麦、棉季农作物：如水稻加小麦、小麦加棉花、玉米加小麦、玉米加辣</w:t>
      </w:r>
      <w:r>
        <w:rPr>
          <w:rFonts w:hint="default" w:ascii="Times New Roman" w:hAnsi="Times New Roman" w:eastAsia="仿宋_GB2312" w:cs="Times New Roman"/>
          <w:sz w:val="28"/>
        </w:rPr>
        <w:t>根。</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1.4.2土地利用状况</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根据东台市第三次全国国土调查数据统计，东台市土地总面积317566.7400公顷，其中:农用地181011.3280公顷，占土地总面积的57%，建设用地36605.6438公顷，占土地总面积11.53%，其他土地99949.7682公顷，占土地总面积31.47%。</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耕地(基本农田) :全市各镇(经济开发区) (以 下简称各镇(区) )以及农场均有分布，其中三仓、头灶、许河、新曹农场、弓京港农场等，乡镇耕地资源丰富，质量优良，重点承担基本农田保护任务。</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城镇村建设用地:建设用地集中布局。主要分布在一城四区:高</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新区、经济开发区、西溪景区和城南片区。并以204国道、沿海高速、333省道、安藐公路等为发展轴，交通方便。</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其他用地:主要为河流水面、沿海滩涂与盐碱地。全市其他土地比重占全市总面积的38.84%，主要为沿海滩涂，主要分布在藐港镇，且每年向东淤长约150米，土地后备资源丰富。</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1.4.3土地利用特点</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 耕地资源丰富，但是随着经济建设的发展，建设占用耕地。规模加大，耕地保护压力逐步增大，实现耕地数量动态平衡、耕地质量稳定提升的耕地管理目标，将面临较大挑战。</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(2) 建设用地扩张快，工业化、城镇化的快速推进加大了建设用地需求，建设用地需求与供给之间缺口较大，建设用地的供给不能满足经济发展对建设用地的需求。</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(3)耕地保护压力大，特别是要做到耕地数量和质量均有所提高，将面临较大挑战。</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(4) 建设用地需求与建设用地供给间缺口较大，建设用地的供给不能满足经济发展对建设用地需求。</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1.4.4城市及产业发展方向</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东台市是江苏沿海现代化工商业中心城市，动人的天仙配传说、范仲淹为官东台的佳话、近现代一批名人的足迹以及部分人文景观沉淀了丰厚的文化底蕴，形成了良好的人文环境。未来五年，东台市将依托地区特色资源，全面加强沿海现代城市、特色小镇、美丽乡村建设。扎实加强沿海滩涂、岸线资源、海洋环境保护，建好生态防护林，打造沿海生态走廊，形成区域经济、人口与生态环境的和谐发展，建设江苏中部沿海区域中心城市。</w:t>
      </w:r>
    </w:p>
    <w:p>
      <w:pPr>
        <w:keepNext w:val="0"/>
        <w:keepLines w:val="0"/>
        <w:pageBreakBefore w:val="0"/>
        <w:kinsoku/>
        <w:wordWrap/>
        <w:overflowPunct/>
        <w:topLinePunct w:val="0"/>
        <w:bidi w:val="0"/>
        <w:spacing w:line="500" w:lineRule="exact"/>
        <w:ind w:firstLine="567"/>
        <w:rPr>
          <w:rFonts w:hint="default" w:ascii="Times New Roman" w:hAnsi="Times New Roman" w:eastAsia="仿宋_GB2312" w:cs="Times New Roman"/>
          <w:sz w:val="28"/>
        </w:rPr>
      </w:pPr>
      <w:r>
        <w:rPr>
          <w:rFonts w:hint="default" w:ascii="Times New Roman" w:hAnsi="Times New Roman" w:eastAsia="仿宋_GB2312" w:cs="Times New Roman"/>
          <w:sz w:val="28"/>
        </w:rPr>
        <w:t>未来五年，东台市将紧紧围绕“融入长三角、建设新东台”的主题，自觉践行新发展理念，抓住“一带一路”、长江经济带等国家战略机遇，全力向上争取政策、争取牌子、发展高效优质产业。一方面，东台市将落实“中国制造2025"东台行动计划，以“3+2+1”产 业为主导，更大力度地推动东台制造向东台智造、东台创造升级。另一方面，东台市将大力发展金融、科技、现代物流等高效优质现代产业，这样不仅能够节约集约利用现有的土地资源，提升土地资源利用效益，更能促进东台市经济的发展、优化土地资源的利用方式。</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0"/>
        </w:rPr>
      </w:pPr>
      <w:r>
        <w:rPr>
          <w:rFonts w:hint="default" w:ascii="Times New Roman" w:hAnsi="Times New Roman" w:eastAsia="仿宋_GB2312" w:cs="Times New Roman"/>
          <w:kern w:val="0"/>
          <w:sz w:val="28"/>
          <w:szCs w:val="20"/>
        </w:rPr>
        <w:t>根据东台市土地利用总体规划和城镇总体规划，该区域未来土地利用主要是农用地，对该宗地未来土地利用无影响。</w:t>
      </w:r>
    </w:p>
    <w:p>
      <w:pPr>
        <w:keepNext w:val="0"/>
        <w:keepLines w:val="0"/>
        <w:pageBreakBefore w:val="0"/>
        <w:kinsoku/>
        <w:wordWrap/>
        <w:overflowPunct/>
        <w:topLinePunct w:val="0"/>
        <w:bidi w:val="0"/>
        <w:spacing w:line="500" w:lineRule="exact"/>
        <w:ind w:firstLine="562" w:firstLineChars="200"/>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2.区域因素</w:t>
      </w:r>
    </w:p>
    <w:p>
      <w:pPr>
        <w:pStyle w:val="6"/>
        <w:keepNext w:val="0"/>
        <w:keepLines w:val="0"/>
        <w:pageBreakBefore w:val="0"/>
        <w:kinsoku/>
        <w:wordWrap/>
        <w:overflowPunct/>
        <w:topLinePunct w:val="0"/>
        <w:bidi w:val="0"/>
        <w:spacing w:line="500" w:lineRule="exact"/>
        <w:ind w:firstLine="560"/>
        <w:rPr>
          <w:rFonts w:hint="default" w:ascii="Times New Roman" w:hAnsi="Times New Roman" w:eastAsia="仿宋_GB2312" w:cs="Times New Roman"/>
          <w:kern w:val="0"/>
          <w:szCs w:val="28"/>
        </w:rPr>
      </w:pPr>
      <w:r>
        <w:rPr>
          <w:rFonts w:hint="default" w:ascii="Times New Roman" w:hAnsi="Times New Roman" w:eastAsia="仿宋_GB2312" w:cs="Times New Roman"/>
          <w:kern w:val="0"/>
          <w:szCs w:val="28"/>
        </w:rPr>
        <w:t>2.1自然因素</w:t>
      </w:r>
    </w:p>
    <w:p>
      <w:pPr>
        <w:pStyle w:val="6"/>
        <w:keepNext w:val="0"/>
        <w:keepLines w:val="0"/>
        <w:pageBreakBefore w:val="0"/>
        <w:kinsoku/>
        <w:wordWrap/>
        <w:overflowPunct/>
        <w:topLinePunct w:val="0"/>
        <w:bidi w:val="0"/>
        <w:spacing w:line="500" w:lineRule="exact"/>
        <w:ind w:firstLine="560"/>
        <w:rPr>
          <w:rFonts w:hint="default" w:ascii="Times New Roman" w:hAnsi="Times New Roman" w:eastAsia="仿宋_GB2312" w:cs="Times New Roman"/>
          <w:kern w:val="0"/>
          <w:szCs w:val="28"/>
        </w:rPr>
      </w:pPr>
      <w:r>
        <w:rPr>
          <w:rFonts w:hint="default" w:ascii="Times New Roman" w:hAnsi="Times New Roman" w:eastAsia="仿宋_GB2312" w:cs="Times New Roman"/>
          <w:kern w:val="0"/>
          <w:szCs w:val="28"/>
        </w:rPr>
        <w:t>2.1.1区域在城市中的位置</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rPr>
        <w:t>估价对象地处东台市沿海经济区，为2006年下半年，</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"https://baike.baidu.com/item/%E6%B1%9F%E8%8B%8F?fromModule=lemma_inlink" \t "https://baike.baidu.com/item/%E4%B8%9C%E5%8F%B0%E5%B8%82%E6%B2%BF%E6%B5%B7%E7%BB%8F%E6%B5%8E%E5%8C%BA/_blank"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江苏</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省</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"https://baike.baidu.com/item/%E4%B8%9C%E5%8F%B0?fromModule=lemma_inlink" \t "https://baike.baidu.com/item/%E4%B8%9C%E5%8F%B0%E5%B8%82%E6%B2%BF%E6%B5%B7%E7%BB%8F%E6%B5%8E%E5%8C%BA/_blank"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东台</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市组建东台市政府第一个副县级派出机构—东台</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"https://baike.baidu.com/item/%E6%B2%BF%E6%B5%B7?fromModule=lemma_inlink" \t "https://baike.baidu.com/item/%E4%B8%9C%E5%8F%B0%E5%B8%82%E6%B2%BF%E6%B5%B7%E7%BB%8F%E6%B5%8E%E5%8C%BA/_blank"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沿海</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经济区。成立以来，特别是2009年6月份江苏沿海开发正式上升为国家发展战略以后，东台市抢抓机遇，按照盐城市委、市政府发展沿海的总体部署和要求，创新思路，开拓奋进，坚持“三港联动、工业主导、综合开发、错位发展”的工作思路，加快发展新型工业、现代农业和生态旅游，东台沿海开发风生水起，茫茫滩涂初显生机。东台沿海经济区位于江苏沿海中部地区，属长三角经济圈范围。距沿海高速出口和新长铁路东台站分别约为30公里、60公里。连接沿海高速和沿海经济区的S352公路已经开通，南连上海、北接连云港的临海高等级公路G228于已经通车。15分钟上高速，1小时过长江，两小时到上海。1小时车程内有南通、盐城两座机场。</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2.2农田基本设施状况</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2.2.1灌溉条件</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估价对象的灌溉制度为灌排兼用体制。渠道主要有农渠（沟）和毛渠（沟），灌水主要依赖自然降水和其他地表径流的补给。</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2.2.2排涝条件</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估价对象的灌溉制度为灌排兼用体制。排水沟为梯形混凝土结构，基本能满足排涝要求。</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2.2.3田块平整度</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估价对象内耕地面积大，地形起伏较小，农机应用很方便。</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2.2.4供电条件</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估价对象内外有农用供电线路，用电保证程度98%左右，可满足小型电力生产设施用电要求。</w:t>
      </w:r>
    </w:p>
    <w:p>
      <w:pPr>
        <w:pStyle w:val="11"/>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2.3地块形状与大小</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kern w:val="28"/>
          <w:sz w:val="28"/>
          <w:szCs w:val="28"/>
        </w:rPr>
      </w:pPr>
      <w:r>
        <w:rPr>
          <w:rFonts w:hint="default" w:ascii="Times New Roman" w:hAnsi="Times New Roman" w:eastAsia="仿宋_GB2312" w:cs="Times New Roman"/>
          <w:sz w:val="28"/>
        </w:rPr>
        <w:t>估价对象形状不规则，面积大，可满足大型农机耕作的要求。</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3.特殊因素</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3.1特殊的土壤条件、气候条件</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东台沿海拥有太平洋西海岸、亚洲大陆边缘、江苏面积最大的海岸型湿地。这里，自然资源、植物资源和</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"https://baike.baidu.com/item/%E5%8A%A8%E7%89%A9%E8%B5%84%E6%BA%90/5377004?fromModule=lemma_inlink" \t "https://baike.baidu.com/item/%E4%B8%9C%E5%8F%B0%E5%B8%82%E6%B2%BF%E6%B5%B7%E7%BB%8F%E6%B5%8E%E5%8C%BA/_blank" </w:instrText>
      </w:r>
      <w:r>
        <w:rPr>
          <w:rFonts w:hint="default" w:ascii="Times New Roman" w:hAnsi="Times New Roman" w:cs="Times New Roman"/>
        </w:rPr>
        <w:fldChar w:fldCharType="separate"/>
      </w:r>
      <w:r>
        <w:rPr>
          <w:rFonts w:hint="default" w:ascii="Times New Roman" w:hAnsi="Times New Roman" w:eastAsia="仿宋_GB2312" w:cs="Times New Roman"/>
          <w:sz w:val="28"/>
        </w:rPr>
        <w:t>动物资源</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呈现出原生态和多样性并得到有效保护，是名副其实的“动物世界”、“植物世界”、“鸟类世界”。东台沿海经济区优势在生态，发展靠生态。以国家发改委特许权项目—国华风电项目为龙头的一批绿色产业项目进区落户，形成了清洁能源、再生资源利用、海洋食品加工等为主要项目支撑的绿色产业基地。</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估价对象内部与附近地区在土壤和气候等方面无明显的差异。</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3.2特殊污染状况</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估价对象位于沿海地区，周边主要为农用地，基本无工业三废和居民生活垃圾污染。</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3.3特殊的环境条件</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估价对象周边主要为农用地，基本无大气污染源和水污染源，环境条件较优。</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3.3权利状况</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在估价期日</w:t>
      </w:r>
      <w:r>
        <w:rPr>
          <w:rFonts w:hint="default" w:ascii="Times New Roman" w:hAnsi="Times New Roman" w:eastAsia="仿宋_GB2312" w:cs="Times New Roman"/>
          <w:sz w:val="28"/>
          <w:szCs w:val="28"/>
        </w:rPr>
        <w:t>二〇二三年十二月三十一日</w:t>
      </w:r>
      <w:r>
        <w:rPr>
          <w:rFonts w:hint="default" w:ascii="Times New Roman" w:hAnsi="Times New Roman" w:eastAsia="仿宋_GB2312" w:cs="Times New Roman"/>
          <w:sz w:val="28"/>
        </w:rPr>
        <w:t>，估价对象未设定抵押权、担保权、地役权、承包经营权，但宗地上设有租赁权，本次未考虑到租赁权等他项权利对估价对象地价的影响。</w:t>
      </w:r>
    </w:p>
    <w:p>
      <w:pPr>
        <w:keepNext w:val="0"/>
        <w:keepLines w:val="0"/>
        <w:pageBreakBefore w:val="0"/>
        <w:tabs>
          <w:tab w:val="left" w:pos="1920"/>
        </w:tabs>
        <w:kinsoku/>
        <w:wordWrap/>
        <w:overflowPunct/>
        <w:topLinePunct w:val="0"/>
        <w:bidi w:val="0"/>
        <w:adjustRightInd w:val="0"/>
        <w:snapToGrid w:val="0"/>
        <w:spacing w:line="500" w:lineRule="exact"/>
        <w:ind w:firstLine="627" w:firstLineChars="224"/>
        <w:outlineLvl w:val="0"/>
        <w:rPr>
          <w:rFonts w:hint="default" w:ascii="Times New Roman" w:hAnsi="Times New Roman" w:eastAsia="仿宋_GB2312" w:cs="Times New Roman"/>
          <w:sz w:val="28"/>
          <w:szCs w:val="28"/>
        </w:rPr>
      </w:pPr>
    </w:p>
    <w:p>
      <w:pPr>
        <w:keepNext w:val="0"/>
        <w:keepLines w:val="0"/>
        <w:pageBreakBefore w:val="0"/>
        <w:tabs>
          <w:tab w:val="left" w:pos="1920"/>
        </w:tabs>
        <w:kinsoku/>
        <w:wordWrap/>
        <w:overflowPunct/>
        <w:topLinePunct w:val="0"/>
        <w:bidi w:val="0"/>
        <w:adjustRightInd w:val="0"/>
        <w:snapToGrid w:val="0"/>
        <w:spacing w:before="312" w:beforeLines="100" w:after="312" w:afterLines="100" w:line="500" w:lineRule="exact"/>
        <w:ind w:firstLine="627" w:firstLineChars="224"/>
        <w:jc w:val="center"/>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b/>
          <w:sz w:val="32"/>
          <w:szCs w:val="32"/>
        </w:rPr>
        <w:t>第三部分  土地估价</w:t>
      </w:r>
    </w:p>
    <w:p>
      <w:pPr>
        <w:keepNext w:val="0"/>
        <w:keepLines w:val="0"/>
        <w:pageBreakBefore w:val="0"/>
        <w:tabs>
          <w:tab w:val="left" w:pos="180"/>
        </w:tabs>
        <w:kinsoku/>
        <w:wordWrap/>
        <w:overflowPunct/>
        <w:topLinePunct w:val="0"/>
        <w:bidi w:val="0"/>
        <w:spacing w:line="500" w:lineRule="exact"/>
        <w:outlineLvl w:val="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一、估价原则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本次土地估价将遵照公正、客观、科学、诚实的原则进行评估，具体表现为以下几个方面：</w:t>
      </w:r>
    </w:p>
    <w:p>
      <w:pPr>
        <w:keepNext w:val="0"/>
        <w:keepLines w:val="0"/>
        <w:pageBreakBefore w:val="0"/>
        <w:kinsoku/>
        <w:wordWrap/>
        <w:overflowPunct/>
        <w:topLinePunct w:val="0"/>
        <w:bidi w:val="0"/>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0"/>
        </w:rPr>
        <w:t>1.</w:t>
      </w:r>
      <w:r>
        <w:rPr>
          <w:rFonts w:hint="default" w:ascii="Times New Roman" w:hAnsi="Times New Roman" w:eastAsia="仿宋_GB2312" w:cs="Times New Roman"/>
          <w:b/>
          <w:bCs/>
          <w:sz w:val="28"/>
          <w:szCs w:val="28"/>
        </w:rPr>
        <w:t>预期收益原则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b/>
          <w:bCs/>
          <w:sz w:val="28"/>
          <w:szCs w:val="20"/>
        </w:rPr>
      </w:pPr>
      <w:r>
        <w:rPr>
          <w:rFonts w:hint="default" w:ascii="Times New Roman" w:hAnsi="Times New Roman" w:eastAsia="仿宋_GB2312" w:cs="Times New Roman"/>
          <w:sz w:val="28"/>
          <w:szCs w:val="28"/>
        </w:rPr>
        <w:t>对于土地价格的评估，重要的并非是过去，而是未来。过去收益的重要意义在于为推测未来的收益变化动向提供依据，其价格应是由反映该宗土地将来的总收益所决定。这要求土地估价师必须了解过去的土地收益状况，并对土地市场状况、发展趋势、政治经济形势等诸方面对土地市场的影响进行细致的分析研究和预测，准确地预测土地现在和未来能为权利人带来的利润总和，即收益价格。</w:t>
      </w:r>
      <w:r>
        <w:rPr>
          <w:rFonts w:hint="default" w:ascii="Times New Roman" w:hAnsi="Times New Roman" w:eastAsia="仿宋_GB2312" w:cs="Times New Roman"/>
          <w:sz w:val="28"/>
        </w:rPr>
        <w:t>农用地估价以估价对象在正常利用条件下的未来客观有效的预期收益为依据。</w:t>
      </w:r>
    </w:p>
    <w:p>
      <w:pPr>
        <w:keepNext w:val="0"/>
        <w:keepLines w:val="0"/>
        <w:pageBreakBefore w:val="0"/>
        <w:kinsoku/>
        <w:wordWrap/>
        <w:overflowPunct/>
        <w:topLinePunct w:val="0"/>
        <w:bidi w:val="0"/>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0"/>
        </w:rPr>
        <w:t>2.</w:t>
      </w:r>
      <w:r>
        <w:rPr>
          <w:rFonts w:hint="default" w:ascii="Times New Roman" w:hAnsi="Times New Roman" w:eastAsia="仿宋_GB2312" w:cs="Times New Roman"/>
          <w:b/>
          <w:bCs/>
          <w:sz w:val="28"/>
          <w:szCs w:val="28"/>
        </w:rPr>
        <w:t>替代原则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 土地价格也同样遵循替代规律，即同类型具有替代可能的土地价格相互牵制。换言之，具有相同使用价值、有替代可能的宗地之间，会相互影响和竞争，使价格相互牵制而趋向一致。</w:t>
      </w:r>
    </w:p>
    <w:p>
      <w:pPr>
        <w:keepNext w:val="0"/>
        <w:keepLines w:val="0"/>
        <w:pageBreakBefore w:val="0"/>
        <w:kinsoku/>
        <w:wordWrap/>
        <w:overflowPunct/>
        <w:topLinePunct w:val="0"/>
        <w:bidi w:val="0"/>
        <w:spacing w:line="50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0"/>
        </w:rPr>
        <w:t>3.</w:t>
      </w:r>
      <w:r>
        <w:rPr>
          <w:rFonts w:hint="default" w:ascii="Times New Roman" w:hAnsi="Times New Roman" w:eastAsia="仿宋_GB2312" w:cs="Times New Roman"/>
          <w:b/>
          <w:bCs/>
          <w:sz w:val="28"/>
          <w:szCs w:val="28"/>
        </w:rPr>
        <w:t>报酬递增递减原则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Pr>
          <w:rFonts w:hint="default" w:ascii="Times New Roman" w:hAnsi="Times New Roman" w:eastAsia="仿宋_GB2312" w:cs="Times New Roman"/>
          <w:sz w:val="28"/>
        </w:rPr>
        <w:t>这一规律在农业生产经营中普遍存在，估价中应充分依据这一原则。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rPr>
        <w:t>4.</w:t>
      </w:r>
      <w:r>
        <w:rPr>
          <w:rFonts w:hint="default" w:ascii="Times New Roman" w:hAnsi="Times New Roman" w:eastAsia="仿宋_GB2312" w:cs="Times New Roman"/>
          <w:b/>
          <w:bCs/>
          <w:sz w:val="28"/>
          <w:szCs w:val="28"/>
        </w:rPr>
        <w:t>贡献原则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b/>
          <w:bCs/>
          <w:sz w:val="28"/>
          <w:szCs w:val="28"/>
        </w:rPr>
        <w:t>合理有效利用原则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于土地具有多种用途，不同的利用方式能为权利人带来不同的收益，且土地权利人都期望从其所占有的土地上获取更多的收益，并以满足这一目的为确定土地利用方式的依据。所以，土地价格既要以最有效发挥本宗地效用为前提，又要以待估土地的规划方案为评估的最有效使用条件。</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b/>
          <w:bCs/>
          <w:sz w:val="28"/>
          <w:szCs w:val="28"/>
        </w:rPr>
        <w:t>变动原则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b/>
          <w:bCs/>
          <w:sz w:val="28"/>
          <w:szCs w:val="28"/>
        </w:rPr>
        <w:t>供需原则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除以上规定的土地估价基本原则外，土地使用权市场价值评估还需考虑以下原则：</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价值主导原则：土地综合质量优劣是对土地价格产生影响的主要因素。</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审慎原则：在评估中确定相关参数和结果时，应分析并充分考虑土地市场运行状况、有关行业发展状况，以及存在的风险。</w:t>
      </w:r>
    </w:p>
    <w:p>
      <w:pPr>
        <w:keepNext w:val="0"/>
        <w:keepLines w:val="0"/>
        <w:pageBreakBefore w:val="0"/>
        <w:tabs>
          <w:tab w:val="left" w:pos="1920"/>
        </w:tabs>
        <w:kinsoku/>
        <w:wordWrap/>
        <w:overflowPunct/>
        <w:topLinePunct w:val="0"/>
        <w:bidi w:val="0"/>
        <w:adjustRightInd w:val="0"/>
        <w:snapToGrid w:val="0"/>
        <w:spacing w:line="500" w:lineRule="exact"/>
        <w:ind w:firstLine="560" w:firstLineChars="200"/>
        <w:outlineLvl w:val="0"/>
        <w:rPr>
          <w:rFonts w:hint="default" w:ascii="Times New Roman" w:hAnsi="Times New Roman" w:eastAsia="仿宋_GB2312" w:cs="Times New Roman"/>
          <w:sz w:val="28"/>
          <w:szCs w:val="30"/>
        </w:rPr>
      </w:pPr>
      <w:r>
        <w:rPr>
          <w:rFonts w:hint="default" w:ascii="Times New Roman" w:hAnsi="Times New Roman" w:eastAsia="仿宋_GB2312" w:cs="Times New Roman"/>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p>
    <w:p>
      <w:pPr>
        <w:keepNext w:val="0"/>
        <w:keepLines w:val="0"/>
        <w:pageBreakBefore w:val="0"/>
        <w:tabs>
          <w:tab w:val="left" w:pos="1920"/>
        </w:tabs>
        <w:kinsoku/>
        <w:wordWrap/>
        <w:overflowPunct/>
        <w:topLinePunct w:val="0"/>
        <w:bidi w:val="0"/>
        <w:adjustRightInd w:val="0"/>
        <w:snapToGrid w:val="0"/>
        <w:spacing w:before="156" w:beforeLines="50" w:after="156" w:afterLines="50" w:line="500" w:lineRule="exact"/>
        <w:outlineLvl w:val="0"/>
        <w:rPr>
          <w:rFonts w:hint="default" w:ascii="Times New Roman" w:hAnsi="Times New Roman" w:eastAsia="仿宋_GB2312" w:cs="Times New Roman"/>
          <w:b/>
          <w:bCs/>
          <w:sz w:val="28"/>
        </w:rPr>
      </w:pPr>
      <w:r>
        <w:rPr>
          <w:rFonts w:hint="default" w:ascii="Times New Roman" w:hAnsi="Times New Roman" w:eastAsia="仿宋_GB2312" w:cs="Times New Roman"/>
          <w:b/>
          <w:bCs/>
          <w:sz w:val="28"/>
        </w:rPr>
        <w:t>二、</w:t>
      </w:r>
      <w:bookmarkStart w:id="10" w:name="_Hlk25411023"/>
      <w:r>
        <w:rPr>
          <w:rFonts w:hint="default" w:ascii="Times New Roman" w:hAnsi="Times New Roman" w:eastAsia="仿宋_GB2312" w:cs="Times New Roman"/>
          <w:b/>
          <w:bCs/>
          <w:sz w:val="28"/>
        </w:rPr>
        <w:t>估价方法</w:t>
      </w:r>
      <w:bookmarkEnd w:id="10"/>
      <w:r>
        <w:rPr>
          <w:rFonts w:hint="default" w:ascii="Times New Roman" w:hAnsi="Times New Roman" w:eastAsia="仿宋_GB2312" w:cs="Times New Roman"/>
          <w:b/>
          <w:bCs/>
          <w:sz w:val="28"/>
        </w:rPr>
        <w:t>与过程</w:t>
      </w:r>
    </w:p>
    <w:p>
      <w:pPr>
        <w:keepNext w:val="0"/>
        <w:keepLines w:val="0"/>
        <w:pageBreakBefore w:val="0"/>
        <w:kinsoku/>
        <w:wordWrap/>
        <w:overflowPunct/>
        <w:topLinePunct w:val="0"/>
        <w:bidi w:val="0"/>
        <w:spacing w:line="500" w:lineRule="exact"/>
        <w:ind w:firstLine="600"/>
        <w:rPr>
          <w:rFonts w:hint="default" w:ascii="Times New Roman" w:hAnsi="Times New Roman" w:eastAsia="仿宋_GB2312" w:cs="Times New Roman"/>
          <w:b/>
          <w:bCs/>
          <w:sz w:val="28"/>
          <w:szCs w:val="20"/>
        </w:rPr>
      </w:pPr>
      <w:r>
        <w:rPr>
          <w:rFonts w:hint="default" w:ascii="Times New Roman" w:hAnsi="Times New Roman" w:eastAsia="仿宋_GB2312" w:cs="Times New Roman"/>
          <w:b/>
          <w:bCs/>
          <w:sz w:val="28"/>
          <w:szCs w:val="20"/>
        </w:rPr>
        <w:t>（一）</w:t>
      </w:r>
      <w:r>
        <w:rPr>
          <w:rFonts w:hint="default" w:ascii="Times New Roman" w:hAnsi="Times New Roman" w:eastAsia="仿宋_GB2312" w:cs="Times New Roman"/>
          <w:b/>
          <w:bCs/>
          <w:sz w:val="28"/>
        </w:rPr>
        <w:t>估价方法</w:t>
      </w:r>
    </w:p>
    <w:p>
      <w:pPr>
        <w:keepNext w:val="0"/>
        <w:keepLines w:val="0"/>
        <w:pageBreakBefore w:val="0"/>
        <w:kinsoku/>
        <w:wordWrap/>
        <w:overflowPunct/>
        <w:topLinePunct w:val="0"/>
        <w:bidi w:val="0"/>
        <w:spacing w:line="500" w:lineRule="exact"/>
        <w:ind w:firstLine="600"/>
        <w:rPr>
          <w:rFonts w:hint="default" w:ascii="Times New Roman" w:hAnsi="Times New Roman" w:eastAsia="仿宋_GB2312" w:cs="Times New Roman"/>
          <w:b/>
          <w:bCs/>
          <w:sz w:val="28"/>
          <w:szCs w:val="20"/>
        </w:rPr>
      </w:pPr>
      <w:r>
        <w:rPr>
          <w:rFonts w:hint="default" w:ascii="Times New Roman" w:hAnsi="Times New Roman" w:eastAsia="仿宋_GB2312" w:cs="Times New Roman"/>
          <w:b/>
          <w:bCs/>
          <w:sz w:val="28"/>
          <w:szCs w:val="20"/>
        </w:rPr>
        <w:t>1、土地估价方法的选择</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城镇土地估价规程》，现行的租金评估方法有市场比较法、收益还原法、剩余法、成本逼近法、基准租金系数修正法、路线价法等。根据东台市房地产市场发育情况并结合估价对象的具体特点及估价目的，我们认为：</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（2）市场比较法是根据市场中的替代原理，将待估土地与具有替代性的，且在估价期日近期市场上交易的类似地产进行比较，并对类似地产的成交价格作适当修正，以此估算待估土地客观合理价格的方法。</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0"/>
        </w:rPr>
        <w:t>市场比较法适用于市场比较稳定有大量交易案例的地区，并且交易案例与待估地块有相关性和替代性。</w:t>
      </w:r>
      <w:r>
        <w:rPr>
          <w:rFonts w:hint="default" w:ascii="Times New Roman" w:hAnsi="Times New Roman" w:eastAsia="仿宋_GB2312" w:cs="Times New Roman"/>
          <w:sz w:val="28"/>
          <w:szCs w:val="28"/>
          <w:lang w:val="zh-SG" w:eastAsia="zh-SG"/>
        </w:rPr>
        <w:t>由于估价对象所在区域相同或相似供需圈内类似用途的承发包案例较多，故可采用市场比较法评估估价对象发包底价格。</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0"/>
        </w:rPr>
        <w:t>成本逼近法是以开发土地所耗费的各项费用之和为主要依据，再加上一定的利润、利息、应缴纳的税金和土地增值收益来推算土租金格的估价方法。</w:t>
      </w:r>
      <w:r>
        <w:rPr>
          <w:rFonts w:hint="default" w:ascii="Times New Roman" w:hAnsi="Times New Roman" w:eastAsia="仿宋_GB2312" w:cs="Times New Roman"/>
          <w:sz w:val="28"/>
          <w:szCs w:val="28"/>
          <w:lang w:val="zh-SG" w:eastAsia="zh-SG"/>
        </w:rPr>
        <w:t>估价对象为</w:t>
      </w:r>
      <w:r>
        <w:rPr>
          <w:rFonts w:hint="default" w:ascii="Times New Roman" w:hAnsi="Times New Roman" w:eastAsia="仿宋_GB2312" w:cs="Times New Roman"/>
          <w:sz w:val="28"/>
          <w:szCs w:val="28"/>
          <w:lang w:val="zh-SG"/>
        </w:rPr>
        <w:t>农用地</w:t>
      </w:r>
      <w:r>
        <w:rPr>
          <w:rFonts w:hint="default" w:ascii="Times New Roman" w:hAnsi="Times New Roman" w:eastAsia="仿宋_GB2312" w:cs="Times New Roman"/>
          <w:sz w:val="28"/>
          <w:szCs w:val="28"/>
          <w:lang w:val="zh-SG" w:eastAsia="zh-SG"/>
        </w:rPr>
        <w:t>，</w:t>
      </w:r>
      <w:r>
        <w:rPr>
          <w:rFonts w:hint="default" w:ascii="Times New Roman" w:hAnsi="Times New Roman" w:eastAsia="仿宋" w:cs="Times New Roman"/>
          <w:spacing w:val="4"/>
          <w:sz w:val="28"/>
        </w:rPr>
        <w:t>区域内类似土地取得成本较难获得，故本次评估中未选用成本逼近法。</w:t>
      </w:r>
    </w:p>
    <w:p>
      <w:pPr>
        <w:keepNext w:val="0"/>
        <w:keepLines w:val="0"/>
        <w:pageBreakBefore w:val="0"/>
        <w:kinsoku/>
        <w:wordWrap/>
        <w:overflowPunct/>
        <w:topLinePunct w:val="0"/>
        <w:autoSpaceDE w:val="0"/>
        <w:autoSpaceDN w:val="0"/>
        <w:bidi w:val="0"/>
        <w:spacing w:line="500" w:lineRule="exact"/>
        <w:ind w:firstLine="560" w:firstLineChars="200"/>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Pr>
          <w:rFonts w:hint="default" w:ascii="Times New Roman" w:hAnsi="Times New Roman" w:eastAsia="仿宋" w:cs="Times New Roman"/>
          <w:sz w:val="28"/>
        </w:rPr>
        <w:t>。</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p>
    <w:p>
      <w:pPr>
        <w:keepNext w:val="0"/>
        <w:keepLines w:val="0"/>
        <w:pageBreakBefore w:val="0"/>
        <w:tabs>
          <w:tab w:val="left" w:pos="1920"/>
        </w:tabs>
        <w:kinsoku/>
        <w:wordWrap/>
        <w:overflowPunct/>
        <w:topLinePunct w:val="0"/>
        <w:bidi w:val="0"/>
        <w:adjustRightInd w:val="0"/>
        <w:snapToGrid w:val="0"/>
        <w:spacing w:line="500" w:lineRule="exact"/>
        <w:ind w:firstLine="560" w:firstLineChars="2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本次评估估价对象于</w:t>
      </w:r>
      <w:r>
        <w:rPr>
          <w:rFonts w:hint="default" w:ascii="Times New Roman" w:hAnsi="Times New Roman" w:eastAsia="仿宋_GB2312" w:cs="Times New Roman"/>
          <w:sz w:val="28"/>
          <w:szCs w:val="28"/>
          <w:u w:color="FF0000"/>
        </w:rPr>
        <w:t>估价期日</w:t>
      </w:r>
      <w:r>
        <w:rPr>
          <w:rFonts w:hint="default" w:ascii="Times New Roman" w:hAnsi="Times New Roman" w:eastAsia="仿宋_GB2312" w:cs="Times New Roman"/>
          <w:sz w:val="28"/>
          <w:szCs w:val="28"/>
        </w:rPr>
        <w:t>设定用途为</w:t>
      </w:r>
      <w:r>
        <w:rPr>
          <w:rFonts w:hint="default" w:ascii="Times New Roman" w:hAnsi="Times New Roman" w:eastAsia="仿宋_GB2312" w:cs="Times New Roman"/>
          <w:sz w:val="28"/>
          <w:szCs w:val="28"/>
          <w:u w:color="FF0000"/>
        </w:rPr>
        <w:t>农用地</w:t>
      </w:r>
      <w:r>
        <w:rPr>
          <w:rFonts w:hint="default" w:ascii="Times New Roman" w:hAnsi="Times New Roman" w:eastAsia="仿宋_GB2312" w:cs="Times New Roman"/>
          <w:sz w:val="28"/>
          <w:szCs w:val="28"/>
        </w:rPr>
        <w:t>，土地使用权类型设定为</w:t>
      </w:r>
      <w:r>
        <w:rPr>
          <w:rFonts w:hint="default" w:ascii="Times New Roman" w:hAnsi="Times New Roman" w:eastAsia="仿宋_GB2312" w:cs="Times New Roman"/>
          <w:sz w:val="28"/>
          <w:szCs w:val="28"/>
          <w:u w:color="FF0000"/>
        </w:rPr>
        <w:t>农用地</w:t>
      </w:r>
      <w:r>
        <w:rPr>
          <w:rFonts w:hint="default" w:ascii="Times New Roman" w:hAnsi="Times New Roman" w:eastAsia="仿宋_GB2312" w:cs="Times New Roman"/>
          <w:sz w:val="28"/>
          <w:szCs w:val="28"/>
        </w:rPr>
        <w:t>，本次评估中采用市场比较法、剩余法分别评估测算估价对象设定条件下的土地承包租金年发包底价格，然后经过综合分析两种测算方法及其测算结果，最终得出估价对象的土地使用权承包权2024年度发包底价格。</w:t>
      </w:r>
    </w:p>
    <w:p>
      <w:pPr>
        <w:keepNext w:val="0"/>
        <w:keepLines w:val="0"/>
        <w:pageBreakBefore w:val="0"/>
        <w:kinsoku/>
        <w:wordWrap/>
        <w:overflowPunct/>
        <w:topLinePunct w:val="0"/>
        <w:bidi w:val="0"/>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综上所述，本次评估采用剩余法和市场比较法两种方法进行评估。</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sz w:val="28"/>
          <w:szCs w:val="28"/>
        </w:rPr>
        <w:t>2、具体路线</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2.1先确定样本鱼塘、林地租金</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2.2通过样本鱼塘、林地，再结合每个区位的实际状况进行修正，得出具体位置的土地承包底价。</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3、估价技术路线</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3.1市场比较法估价技术路线</w:t>
      </w:r>
    </w:p>
    <w:p>
      <w:pPr>
        <w:keepNext w:val="0"/>
        <w:keepLines w:val="0"/>
        <w:pageBreakBefore w:val="0"/>
        <w:widowControl/>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pPr>
        <w:keepNext w:val="0"/>
        <w:keepLines w:val="0"/>
        <w:pageBreakBefore w:val="0"/>
        <w:widowControl/>
        <w:kinsoku/>
        <w:wordWrap/>
        <w:overflowPunct/>
        <w:topLinePunct w:val="0"/>
        <w:bidi w:val="0"/>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P=Pb×Kc×Kt×Kn×Ke×Ks×Ky</w:t>
      </w:r>
    </w:p>
    <w:p>
      <w:pPr>
        <w:keepNext w:val="0"/>
        <w:keepLines w:val="0"/>
        <w:pageBreakBefore w:val="0"/>
        <w:widowControl/>
        <w:kinsoku/>
        <w:wordWrap/>
        <w:overflowPunct/>
        <w:topLinePunct w:val="0"/>
        <w:bidi w:val="0"/>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式中：P——比准价格；</w:t>
      </w:r>
    </w:p>
    <w:p>
      <w:pPr>
        <w:keepNext w:val="0"/>
        <w:keepLines w:val="0"/>
        <w:pageBreakBefore w:val="0"/>
        <w:widowControl/>
        <w:kinsoku/>
        <w:wordWrap/>
        <w:overflowPunct/>
        <w:topLinePunct w:val="0"/>
        <w:bidi w:val="0"/>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Pb——交易实例价格；</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Kc——情况修正系数；</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Kt——期日修正系数；</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Kn——自然因素的修正系数；</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Ke——社会经济因素的修正系数；</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Ks——特殊因素的修正系数；</w:t>
      </w:r>
    </w:p>
    <w:p>
      <w:pPr>
        <w:keepNext w:val="0"/>
        <w:keepLines w:val="0"/>
        <w:pageBreakBefore w:val="0"/>
        <w:widowControl/>
        <w:kinsoku/>
        <w:wordWrap/>
        <w:overflowPunct/>
        <w:topLinePunct w:val="0"/>
        <w:bidi w:val="0"/>
        <w:spacing w:line="500" w:lineRule="exact"/>
        <w:ind w:firstLine="1400" w:firstLineChars="5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Ky――年期修正系数。</w:t>
      </w:r>
    </w:p>
    <w:p>
      <w:pPr>
        <w:keepNext w:val="0"/>
        <w:keepLines w:val="0"/>
        <w:pageBreakBefore w:val="0"/>
        <w:widowControl/>
        <w:kinsoku/>
        <w:wordWrap/>
        <w:overflowPunct/>
        <w:topLinePunct w:val="0"/>
        <w:bidi w:val="0"/>
        <w:spacing w:line="50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3.2</w:t>
      </w:r>
      <w:r>
        <w:rPr>
          <w:rFonts w:hint="default" w:ascii="Times New Roman" w:hAnsi="Times New Roman" w:eastAsia="仿宋" w:cs="Times New Roman"/>
          <w:b/>
          <w:bCs/>
          <w:spacing w:val="4"/>
          <w:sz w:val="28"/>
        </w:rPr>
        <w:t>剩余</w:t>
      </w:r>
      <w:r>
        <w:rPr>
          <w:rFonts w:hint="default" w:ascii="Times New Roman" w:hAnsi="Times New Roman" w:eastAsia="仿宋_GB2312" w:cs="Times New Roman"/>
          <w:b/>
          <w:bCs/>
          <w:kern w:val="0"/>
          <w:sz w:val="28"/>
          <w:szCs w:val="28"/>
        </w:rPr>
        <w:t>法估价技术路线</w:t>
      </w:r>
    </w:p>
    <w:p>
      <w:pPr>
        <w:keepNext w:val="0"/>
        <w:keepLines w:val="0"/>
        <w:pageBreakBefore w:val="0"/>
        <w:widowControl/>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剩余法的基本思路是</w:t>
      </w:r>
      <w:r>
        <w:rPr>
          <w:rFonts w:hint="default" w:ascii="Times New Roman" w:hAnsi="Times New Roman" w:eastAsia="仿宋_GB2312" w:cs="Times New Roman"/>
          <w:sz w:val="28"/>
          <w:szCs w:val="28"/>
          <w:lang w:val="zh-SG" w:eastAsia="zh-SG"/>
        </w:rPr>
        <w:t>预计农用地正常收益的基础上，扣除预计的正常经营成本及有关的费用、利润、税金等价值，余额来估算农用地承包价格的方法</w:t>
      </w:r>
      <w:r>
        <w:rPr>
          <w:rFonts w:hint="default" w:ascii="Times New Roman" w:hAnsi="Times New Roman" w:eastAsia="仿宋_GB2312" w:cs="Times New Roman"/>
          <w:kern w:val="0"/>
          <w:sz w:val="28"/>
          <w:szCs w:val="28"/>
        </w:rPr>
        <w:t>。其基本公式为：</w:t>
      </w:r>
    </w:p>
    <w:p>
      <w:pPr>
        <w:keepNext w:val="0"/>
        <w:keepLines w:val="0"/>
        <w:pageBreakBefore w:val="0"/>
        <w:widowControl/>
        <w:kinsoku/>
        <w:wordWrap/>
        <w:overflowPunct/>
        <w:topLinePunct w:val="0"/>
        <w:bidi w:val="0"/>
        <w:spacing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土地租金=预计的年收益-经营成本-管理费用-投资利息-投资利润-销售费用-增值税等税费</w:t>
      </w:r>
    </w:p>
    <w:p>
      <w:pPr>
        <w:keepNext w:val="0"/>
        <w:keepLines w:val="0"/>
        <w:pageBreakBefore w:val="0"/>
        <w:kinsoku/>
        <w:wordWrap/>
        <w:overflowPunct/>
        <w:topLinePunct w:val="0"/>
        <w:bidi w:val="0"/>
        <w:adjustRightInd w:val="0"/>
        <w:spacing w:line="50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(二)估价过程</w:t>
      </w:r>
    </w:p>
    <w:p>
      <w:pPr>
        <w:keepNext w:val="0"/>
        <w:keepLines w:val="0"/>
        <w:pageBreakBefore w:val="0"/>
        <w:kinsoku/>
        <w:wordWrap/>
        <w:overflowPunct/>
        <w:topLinePunct w:val="0"/>
        <w:bidi w:val="0"/>
        <w:adjustRightInd w:val="0"/>
        <w:spacing w:line="50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1、</w:t>
      </w:r>
      <w:r>
        <w:rPr>
          <w:rFonts w:hint="default" w:ascii="Times New Roman" w:hAnsi="Times New Roman" w:eastAsia="仿宋_GB2312" w:cs="Times New Roman"/>
          <w:b/>
          <w:bCs/>
          <w:sz w:val="28"/>
          <w:szCs w:val="28"/>
        </w:rPr>
        <w:t>东台河闸南首坑塘水面（淡水养殖）租金的测算</w:t>
      </w:r>
    </w:p>
    <w:p>
      <w:pPr>
        <w:keepNext w:val="0"/>
        <w:keepLines w:val="0"/>
        <w:pageBreakBefore w:val="0"/>
        <w:kinsoku/>
        <w:wordWrap/>
        <w:overflowPunct/>
        <w:topLinePunct w:val="0"/>
        <w:bidi w:val="0"/>
        <w:adjustRightInd w:val="0"/>
        <w:spacing w:line="50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sz w:val="28"/>
        </w:rPr>
        <w:t>本次评估以一区东2号</w:t>
      </w:r>
      <w:r>
        <w:rPr>
          <w:rFonts w:hint="default" w:ascii="Times New Roman" w:hAnsi="Times New Roman" w:eastAsia="仿宋_GB2312" w:cs="Times New Roman"/>
          <w:spacing w:val="4"/>
          <w:sz w:val="28"/>
        </w:rPr>
        <w:t>坑塘水面（淡水养殖）为样本鱼塘。</w:t>
      </w:r>
    </w:p>
    <w:p>
      <w:pPr>
        <w:keepNext w:val="0"/>
        <w:keepLines w:val="0"/>
        <w:pageBreakBefore w:val="0"/>
        <w:kinsoku/>
        <w:wordWrap/>
        <w:overflowPunct/>
        <w:topLinePunct w:val="0"/>
        <w:bidi w:val="0"/>
        <w:adjustRightInd w:val="0"/>
        <w:spacing w:line="50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1.1市场比较法</w:t>
      </w:r>
    </w:p>
    <w:p>
      <w:pPr>
        <w:keepNext w:val="0"/>
        <w:keepLines w:val="0"/>
        <w:pageBreakBefore w:val="0"/>
        <w:numPr>
          <w:ilvl w:val="0"/>
          <w:numId w:val="3"/>
        </w:numPr>
        <w:kinsoku/>
        <w:wordWrap/>
        <w:overflowPunct/>
        <w:topLinePunct w:val="0"/>
        <w:bidi w:val="0"/>
        <w:adjustRightInd w:val="0"/>
        <w:spacing w:line="500" w:lineRule="exact"/>
        <w:ind w:firstLine="560"/>
        <w:textAlignment w:val="baseline"/>
        <w:outlineLvl w:val="0"/>
        <w:rPr>
          <w:rFonts w:hint="default" w:ascii="Times New Roman" w:hAnsi="Times New Roman" w:eastAsia="仿宋_GB2312" w:cs="Times New Roman"/>
          <w:b/>
          <w:bCs/>
          <w:kern w:val="0"/>
          <w:sz w:val="28"/>
          <w:szCs w:val="20"/>
        </w:rPr>
      </w:pPr>
      <w:bookmarkStart w:id="11" w:name="_Hlk123902836"/>
      <w:r>
        <w:rPr>
          <w:rFonts w:hint="default" w:ascii="Times New Roman" w:hAnsi="Times New Roman" w:eastAsia="仿宋_GB2312" w:cs="Times New Roman"/>
          <w:b/>
          <w:bCs/>
          <w:kern w:val="0"/>
          <w:sz w:val="28"/>
          <w:szCs w:val="20"/>
        </w:rPr>
        <w:t>比较实例选取</w:t>
      </w:r>
    </w:p>
    <w:p>
      <w:pPr>
        <w:pStyle w:val="11"/>
        <w:keepNext w:val="0"/>
        <w:keepLines w:val="0"/>
        <w:pageBreakBefore w:val="0"/>
        <w:kinsoku/>
        <w:wordWrap/>
        <w:overflowPunct/>
        <w:topLinePunct w:val="0"/>
        <w:bidi w:val="0"/>
        <w:spacing w:after="156" w:afterLines="50"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根据估</w:t>
      </w:r>
      <w:r>
        <w:rPr>
          <w:rFonts w:hint="default" w:ascii="Times New Roman" w:hAnsi="Times New Roman" w:eastAsia="仿宋_GB2312" w:cs="Times New Roman"/>
          <w:sz w:val="28"/>
        </w:rPr>
        <w:t>价对象所处位置、交通条件、基础设施条件等因素，土地估价师搜集了与估价对象处于同一供需圈、均为淡水养殖的多宗土地交易实例，并选取其中三宗作为可比实例。可比实例基本情况如下表：</w:t>
      </w:r>
    </w:p>
    <w:tbl>
      <w:tblPr>
        <w:tblStyle w:val="21"/>
        <w:tblW w:w="9073" w:type="dxa"/>
        <w:tblInd w:w="0" w:type="dxa"/>
        <w:tblLayout w:type="fixed"/>
        <w:tblCellMar>
          <w:top w:w="0" w:type="dxa"/>
          <w:left w:w="0" w:type="dxa"/>
          <w:bottom w:w="0" w:type="dxa"/>
          <w:right w:w="0" w:type="dxa"/>
        </w:tblCellMar>
      </w:tblPr>
      <w:tblGrid>
        <w:gridCol w:w="583"/>
        <w:gridCol w:w="1125"/>
        <w:gridCol w:w="1740"/>
        <w:gridCol w:w="1860"/>
        <w:gridCol w:w="1905"/>
        <w:gridCol w:w="1860"/>
      </w:tblGrid>
      <w:tr>
        <w:tblPrEx>
          <w:tblCellMar>
            <w:top w:w="0" w:type="dxa"/>
            <w:left w:w="0" w:type="dxa"/>
            <w:bottom w:w="0" w:type="dxa"/>
            <w:right w:w="0" w:type="dxa"/>
          </w:tblCellMar>
        </w:tblPrEx>
        <w:trPr>
          <w:trHeight w:val="403" w:hRule="atLeast"/>
        </w:trPr>
        <w:tc>
          <w:tcPr>
            <w:tcW w:w="9073"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_GB2312" w:cs="Times New Roman"/>
                <w:b/>
                <w:bCs/>
                <w:kern w:val="0"/>
                <w:sz w:val="28"/>
                <w:szCs w:val="21"/>
              </w:rPr>
              <w:t>待估土地与比较实例基本情况表</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估价对象</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案例3</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950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850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自然因素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土壤质地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盐渍化程度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r>
      <w:tr>
        <w:tblPrEx>
          <w:tblCellMar>
            <w:top w:w="0" w:type="dxa"/>
            <w:left w:w="0" w:type="dxa"/>
            <w:bottom w:w="0" w:type="dxa"/>
            <w:right w:w="0" w:type="dxa"/>
          </w:tblCellMar>
        </w:tblPrEx>
        <w:trPr>
          <w:trHeight w:val="50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日照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2200小时</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2200小时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2200小时</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2200小时</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面积</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约200亩</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100亩</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50亩</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200亩</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经营耕作因素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灌溉条件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排水条件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农机应用</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区位条件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交通通达性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一般</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一般</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一般</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72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路网状况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G228/G344/S352/S333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G228/G344/S352/S333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G228/G344/S352/S333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G15/G343/G1516</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距市场远近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特殊因素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气候条件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其他</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bl>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（2）建立价格可比基础</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估价对象与比较案例在付款方式、币种和货币单位、面积内涵和面积单位等方面一致。</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根据待估土地用地的特点和土地估价师收集的资料，具体因素选择如下：</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（3）因素选择</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①</w:t>
      </w:r>
      <w:r>
        <w:rPr>
          <w:rFonts w:hint="default" w:ascii="Times New Roman" w:hAnsi="Times New Roman" w:eastAsia="仿宋_GB2312" w:cs="Times New Roman"/>
          <w:bCs/>
          <w:kern w:val="0"/>
          <w:sz w:val="28"/>
          <w:szCs w:val="20"/>
        </w:rPr>
        <w:t>交易时间：因交易期日的不同而租金存在差异，故需进行期日修正。</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②</w:t>
      </w:r>
      <w:r>
        <w:rPr>
          <w:rFonts w:hint="default" w:ascii="Times New Roman" w:hAnsi="Times New Roman" w:eastAsia="仿宋_GB2312" w:cs="Times New Roman"/>
          <w:bCs/>
          <w:kern w:val="0"/>
          <w:sz w:val="28"/>
          <w:szCs w:val="20"/>
        </w:rPr>
        <w:t>交易情况：考虑交易行为中的一些特殊因素所造成的比较案例租金偏差，将其成交租金修正为正常市场租金。</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③</w:t>
      </w:r>
      <w:r>
        <w:rPr>
          <w:rFonts w:hint="default" w:ascii="Times New Roman" w:hAnsi="Times New Roman" w:eastAsia="仿宋_GB2312" w:cs="Times New Roman"/>
          <w:bCs/>
          <w:kern w:val="0"/>
          <w:sz w:val="28"/>
          <w:szCs w:val="20"/>
        </w:rPr>
        <w:t>交易方式：考虑交易行为中交易方式的不同，而将交易方式修正为同一交易方式的正常市场租金。</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④</w:t>
      </w:r>
      <w:r>
        <w:rPr>
          <w:rFonts w:hint="default" w:ascii="Times New Roman" w:hAnsi="Times New Roman" w:eastAsia="仿宋_GB2312" w:cs="Times New Roman"/>
          <w:bCs/>
          <w:kern w:val="0"/>
          <w:sz w:val="28"/>
          <w:szCs w:val="20"/>
        </w:rPr>
        <w:t>区域因素：主要有区域位置、基础设施状况、交通状况、产业集聚程度、环境状况、自然条件、城市规划限制等。</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⑤</w:t>
      </w:r>
      <w:r>
        <w:rPr>
          <w:rFonts w:hint="default" w:ascii="Times New Roman" w:hAnsi="Times New Roman" w:eastAsia="仿宋_GB2312" w:cs="Times New Roman"/>
          <w:bCs/>
          <w:kern w:val="0"/>
          <w:sz w:val="28"/>
          <w:szCs w:val="20"/>
        </w:rPr>
        <w:t>个别因素：主要指宗地自身条件、开发程度、宗地形状、宗地面积、临路状况、接近对外交通设施距离等。</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⑥</w:t>
      </w:r>
      <w:r>
        <w:rPr>
          <w:rFonts w:hint="default" w:ascii="Times New Roman" w:hAnsi="Times New Roman" w:eastAsia="仿宋_GB2312" w:cs="Times New Roman"/>
          <w:bCs/>
          <w:kern w:val="0"/>
          <w:sz w:val="28"/>
          <w:szCs w:val="20"/>
        </w:rPr>
        <w:t>土地使用年期：将可比实例不同使用年期修正到估价对象使用年期，以消除因土地使用年期不同而对价格带来的影响。</w:t>
      </w:r>
    </w:p>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t>（4）因素条件说明</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整理估价师收集的有关资料，将估价对象与比较案例的因素条件列表表示，见下表。</w:t>
      </w:r>
    </w:p>
    <w:tbl>
      <w:tblPr>
        <w:tblStyle w:val="21"/>
        <w:tblW w:w="0" w:type="auto"/>
        <w:tblInd w:w="0" w:type="dxa"/>
        <w:tblLayout w:type="fixed"/>
        <w:tblCellMar>
          <w:top w:w="0" w:type="dxa"/>
          <w:left w:w="0" w:type="dxa"/>
          <w:bottom w:w="0" w:type="dxa"/>
          <w:right w:w="0" w:type="dxa"/>
        </w:tblCellMar>
      </w:tblPr>
      <w:tblGrid>
        <w:gridCol w:w="659"/>
        <w:gridCol w:w="2084"/>
        <w:gridCol w:w="1575"/>
        <w:gridCol w:w="1515"/>
        <w:gridCol w:w="1545"/>
        <w:gridCol w:w="1560"/>
      </w:tblGrid>
      <w:tr>
        <w:trPr>
          <w:trHeight w:val="403" w:hRule="atLeast"/>
        </w:trPr>
        <w:tc>
          <w:tcPr>
            <w:tcW w:w="893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 w:val="28"/>
                <w:szCs w:val="20"/>
              </w:rPr>
              <w:t>比较因素条件说明表</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估价对象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案例3</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较近</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较近</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较近</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950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850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自然因素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土壤质地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盐渍化程度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w:t>
            </w:r>
          </w:p>
        </w:tc>
      </w:tr>
      <w:tr>
        <w:tblPrEx>
          <w:tblCellMar>
            <w:top w:w="0" w:type="dxa"/>
            <w:left w:w="0" w:type="dxa"/>
            <w:bottom w:w="0" w:type="dxa"/>
            <w:right w:w="0" w:type="dxa"/>
          </w:tblCellMar>
        </w:tblPrEx>
        <w:trPr>
          <w:trHeight w:val="44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日照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100亩</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50亩</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200亩</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经营耕作因素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灌溉条件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排水条件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充分满足</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农机应用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区位条件</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交通通达性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一般</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一般</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45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路网状况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距市场远近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较远</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特殊因素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气候条件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其他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bl>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t>（5）编制比较因素条件指数</w:t>
      </w:r>
    </w:p>
    <w:p>
      <w:pPr>
        <w:autoSpaceDE w:val="0"/>
        <w:adjustRightInd w:val="0"/>
        <w:spacing w:after="156" w:afterLines="50"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以待估土地的因素条件指数为基数，直接比较分析估价对象和比较案例的交易情况、区域因素、个别因素及使用年期等差别，各比较因素条件指数确定依据如下:</w:t>
      </w:r>
    </w:p>
    <w:tbl>
      <w:tblPr>
        <w:tblStyle w:val="21"/>
        <w:tblW w:w="0" w:type="auto"/>
        <w:jc w:val="center"/>
        <w:tblLayout w:type="fixed"/>
        <w:tblCellMar>
          <w:top w:w="0" w:type="dxa"/>
          <w:left w:w="0" w:type="dxa"/>
          <w:bottom w:w="0" w:type="dxa"/>
          <w:right w:w="0" w:type="dxa"/>
        </w:tblCellMar>
      </w:tblPr>
      <w:tblGrid>
        <w:gridCol w:w="629"/>
        <w:gridCol w:w="2003"/>
        <w:gridCol w:w="1350"/>
        <w:gridCol w:w="1320"/>
        <w:gridCol w:w="1305"/>
        <w:gridCol w:w="1370"/>
      </w:tblGrid>
      <w:tr>
        <w:tblPrEx>
          <w:tblCellMar>
            <w:top w:w="0" w:type="dxa"/>
            <w:left w:w="0" w:type="dxa"/>
            <w:bottom w:w="0" w:type="dxa"/>
            <w:right w:w="0" w:type="dxa"/>
          </w:tblCellMar>
        </w:tblPrEx>
        <w:trPr>
          <w:trHeight w:val="403" w:hRule="atLeast"/>
          <w:jc w:val="center"/>
        </w:trPr>
        <w:tc>
          <w:tcPr>
            <w:tcW w:w="797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color w:val="000000"/>
                <w:sz w:val="20"/>
                <w:szCs w:val="20"/>
              </w:rPr>
            </w:pPr>
            <w:r>
              <w:rPr>
                <w:rFonts w:hint="default" w:ascii="Times New Roman" w:hAnsi="Times New Roman" w:eastAsia="仿宋_GB2312" w:cs="Times New Roman"/>
                <w:b/>
                <w:kern w:val="0"/>
                <w:sz w:val="28"/>
                <w:szCs w:val="20"/>
              </w:rPr>
              <w:t>比较因素条件指数表</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估价对象</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案例3</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szCs w:val="21"/>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950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850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自然因素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土壤质地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盐渍化程度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50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日照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面积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101</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经营耕作因素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灌溉条件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排水条件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农机应用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区位条件</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交通通达性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101</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102</w:t>
            </w:r>
          </w:p>
        </w:tc>
      </w:tr>
      <w:tr>
        <w:tblPrEx>
          <w:tblCellMar>
            <w:top w:w="0" w:type="dxa"/>
            <w:left w:w="0" w:type="dxa"/>
            <w:bottom w:w="0" w:type="dxa"/>
            <w:right w:w="0" w:type="dxa"/>
          </w:tblCellMar>
        </w:tblPrEx>
        <w:trPr>
          <w:trHeight w:val="41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路网状况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距市场远近</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特殊因素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气候条件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土壤条件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其他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bl>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1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①</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交易时间</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估价对象与比较案例所在区域都为盐城市，估价基准日为2023年12月31日，比较案例的交易日期均为2023年，农用地租金市场的发展在此期间并无明显变化，租金总体保持平稳，故不进行估价期日修正。</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2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②</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交易情况</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考虑交易情况是否正常对租金的影响。比较案例1、2、3均为正常市场交易，租金水平为正常市场租金，故不需进行交易情况修正。</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3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③</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交易方式</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考虑到比较案例的交易方式均为公开市场条件下的成交价，故不需进行交易方式的修正。</w:t>
      </w:r>
    </w:p>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4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④</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综合因素</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综合因素包括区位优势、气候条件、相关配套、地块情况及经营现状，以估价对象为基准（100%），进行相应修正。</w:t>
      </w:r>
    </w:p>
    <w:p>
      <w:pPr>
        <w:numPr>
          <w:ilvl w:val="0"/>
          <w:numId w:val="4"/>
        </w:num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因素修正与比准租金测算</w:t>
      </w:r>
    </w:p>
    <w:tbl>
      <w:tblPr>
        <w:tblStyle w:val="21"/>
        <w:tblW w:w="0" w:type="auto"/>
        <w:jc w:val="center"/>
        <w:tblLayout w:type="fixed"/>
        <w:tblCellMar>
          <w:top w:w="0" w:type="dxa"/>
          <w:left w:w="0" w:type="dxa"/>
          <w:bottom w:w="0" w:type="dxa"/>
          <w:right w:w="0" w:type="dxa"/>
        </w:tblCellMar>
      </w:tblPr>
      <w:tblGrid>
        <w:gridCol w:w="844"/>
        <w:gridCol w:w="1752"/>
        <w:gridCol w:w="1659"/>
        <w:gridCol w:w="1659"/>
        <w:gridCol w:w="1659"/>
      </w:tblGrid>
      <w:tr>
        <w:tblPrEx>
          <w:tblCellMar>
            <w:top w:w="0" w:type="dxa"/>
            <w:left w:w="0" w:type="dxa"/>
            <w:bottom w:w="0" w:type="dxa"/>
            <w:right w:w="0" w:type="dxa"/>
          </w:tblCellMar>
        </w:tblPrEx>
        <w:trPr>
          <w:trHeight w:val="402" w:hRule="atLeast"/>
          <w:jc w:val="center"/>
        </w:trPr>
        <w:tc>
          <w:tcPr>
            <w:tcW w:w="7573"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color w:val="000000"/>
                <w:sz w:val="20"/>
                <w:szCs w:val="20"/>
              </w:rPr>
            </w:pPr>
            <w:r>
              <w:rPr>
                <w:rFonts w:hint="default" w:ascii="Times New Roman" w:hAnsi="Times New Roman" w:eastAsia="仿宋_GB2312" w:cs="Times New Roman"/>
                <w:b/>
                <w:kern w:val="0"/>
                <w:sz w:val="28"/>
                <w:szCs w:val="20"/>
              </w:rPr>
              <w:t>因素比较修正系数表</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案例2</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案例3</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东台市</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交易时间</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交易情况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成交单价</w:t>
            </w:r>
            <w:r>
              <w:rPr>
                <w:rFonts w:hint="default" w:ascii="Times New Roman" w:hAnsi="Times New Roman" w:eastAsia="仿宋_GB2312" w:cs="Times New Roman"/>
                <w:b/>
                <w:bCs/>
                <w:kern w:val="0"/>
                <w:szCs w:val="21"/>
              </w:rPr>
              <w:t>（元/亩）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950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850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自然因素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土壤质地</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盐渍化程度</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29"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日照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面积</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color w:val="000000"/>
                <w:kern w:val="0"/>
                <w:sz w:val="20"/>
                <w:szCs w:val="20"/>
                <w:lang w:bidi="ar"/>
              </w:rPr>
              <w:t>100/102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100/101</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经营耕作因素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灌溉条件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排水条件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农机应用</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区位条件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交通通达性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100/102</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路网状况</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距市场远近</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特殊因素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气候条件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其他</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比准价格（元/亩）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 w:val="22"/>
                <w:szCs w:val="22"/>
              </w:rPr>
              <w:t>940.59</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 w:val="22"/>
                <w:szCs w:val="22"/>
              </w:rPr>
              <w:t>850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color w:val="000000"/>
                <w:sz w:val="22"/>
                <w:szCs w:val="22"/>
                <w:lang w:val="en-US" w:eastAsia="zh-CN"/>
              </w:rPr>
              <w:t>816.41</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评估价格（元/亩）</w:t>
            </w:r>
          </w:p>
        </w:tc>
        <w:tc>
          <w:tcPr>
            <w:tcW w:w="4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869</w:t>
            </w:r>
          </w:p>
        </w:tc>
      </w:tr>
    </w:tbl>
    <w:p>
      <w:pPr>
        <w:autoSpaceDE w:val="0"/>
        <w:adjustRightInd w:val="0"/>
        <w:spacing w:line="48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本次评估确定的三个比准租金很接近，故取三者的简单算术平均值作为估价对象客观租金：</w:t>
      </w:r>
    </w:p>
    <w:p>
      <w:pPr>
        <w:autoSpaceDE w:val="0"/>
        <w:adjustRightInd w:val="0"/>
        <w:spacing w:line="48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w:t>
      </w:r>
      <w:bookmarkStart w:id="12" w:name="_Hlk25412991"/>
      <w:r>
        <w:rPr>
          <w:rFonts w:hint="default" w:ascii="Times New Roman" w:hAnsi="Times New Roman" w:eastAsia="仿宋_GB2312" w:cs="Times New Roman"/>
          <w:bCs/>
          <w:kern w:val="0"/>
          <w:sz w:val="28"/>
          <w:szCs w:val="20"/>
        </w:rPr>
        <w:t>940.59元/亩</w:t>
      </w:r>
      <w:bookmarkEnd w:id="12"/>
      <w:r>
        <w:rPr>
          <w:rFonts w:hint="default" w:ascii="Times New Roman" w:hAnsi="Times New Roman" w:eastAsia="仿宋_GB2312" w:cs="Times New Roman"/>
          <w:bCs/>
          <w:kern w:val="0"/>
          <w:sz w:val="28"/>
          <w:szCs w:val="20"/>
        </w:rPr>
        <w:t>+850元/亩+</w:t>
      </w:r>
      <w:r>
        <w:rPr>
          <w:rFonts w:hint="default" w:ascii="Times New Roman" w:hAnsi="Times New Roman" w:eastAsia="仿宋_GB2312" w:cs="Times New Roman"/>
          <w:bCs/>
          <w:kern w:val="0"/>
          <w:sz w:val="28"/>
          <w:szCs w:val="20"/>
          <w:lang w:eastAsia="zh-CN"/>
        </w:rPr>
        <w:t>816.41</w:t>
      </w:r>
      <w:r>
        <w:rPr>
          <w:rFonts w:hint="default" w:ascii="Times New Roman" w:hAnsi="Times New Roman" w:eastAsia="仿宋_GB2312" w:cs="Times New Roman"/>
          <w:bCs/>
          <w:kern w:val="0"/>
          <w:sz w:val="28"/>
          <w:szCs w:val="20"/>
        </w:rPr>
        <w:t>元/亩）÷3=8</w:t>
      </w:r>
      <w:r>
        <w:rPr>
          <w:rFonts w:hint="default" w:ascii="Times New Roman" w:hAnsi="Times New Roman" w:eastAsia="仿宋_GB2312" w:cs="Times New Roman"/>
          <w:bCs/>
          <w:kern w:val="0"/>
          <w:sz w:val="28"/>
          <w:szCs w:val="20"/>
          <w:lang w:val="en-US" w:eastAsia="zh-CN"/>
        </w:rPr>
        <w:t>69</w:t>
      </w:r>
      <w:r>
        <w:rPr>
          <w:rFonts w:hint="default" w:ascii="Times New Roman" w:hAnsi="Times New Roman" w:eastAsia="仿宋_GB2312" w:cs="Times New Roman"/>
          <w:bCs/>
          <w:kern w:val="0"/>
          <w:sz w:val="28"/>
          <w:szCs w:val="20"/>
        </w:rPr>
        <w:t>元/亩。</w:t>
      </w:r>
    </w:p>
    <w:p>
      <w:pPr>
        <w:autoSpaceDE w:val="0"/>
        <w:adjustRightInd w:val="0"/>
        <w:spacing w:line="48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（7）方法评价</w:t>
      </w:r>
    </w:p>
    <w:p>
      <w:pPr>
        <w:autoSpaceDE w:val="0"/>
        <w:adjustRightInd w:val="0"/>
        <w:spacing w:line="480" w:lineRule="exact"/>
        <w:ind w:firstLine="561"/>
        <w:rPr>
          <w:rFonts w:hint="default" w:ascii="Times New Roman" w:hAnsi="Times New Roman" w:eastAsia="仿宋_GB2312" w:cs="Times New Roman"/>
          <w:kern w:val="0"/>
          <w:sz w:val="28"/>
          <w:szCs w:val="20"/>
        </w:rPr>
      </w:pPr>
      <w:r>
        <w:rPr>
          <w:rFonts w:hint="default" w:ascii="Times New Roman" w:hAnsi="Times New Roman" w:eastAsia="仿宋_GB2312" w:cs="Times New Roman"/>
          <w:bCs/>
          <w:kern w:val="0"/>
          <w:sz w:val="28"/>
          <w:szCs w:val="20"/>
        </w:rPr>
        <w:t>市场比较法的基本思路是在估算估价对象租金时，根据替代原则，将估价对象与具有替代性的，且在估价期日近期市场上交易的类似交易进行比较，并依据后者已知的成交价格，参照估价对象的交易时间、交易情况、交易方式、区域以及个别因素等，修正评出比准租金，最终以交易的类似案例比准租金估算估价对象在估价期日的租金。由于上述各项参数的选取客观、可靠，故采用市场比较法测算的结果可信度较高</w:t>
      </w:r>
      <w:r>
        <w:rPr>
          <w:rFonts w:hint="default" w:ascii="Times New Roman" w:hAnsi="Times New Roman" w:eastAsia="仿宋_GB2312" w:cs="Times New Roman"/>
          <w:kern w:val="0"/>
          <w:sz w:val="28"/>
          <w:szCs w:val="20"/>
        </w:rPr>
        <w:t>。</w:t>
      </w:r>
      <w:bookmarkEnd w:id="11"/>
    </w:p>
    <w:p>
      <w:pPr>
        <w:autoSpaceDE w:val="0"/>
        <w:adjustRightInd w:val="0"/>
        <w:spacing w:line="48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1.2剩余法</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剩余法的基本思路是</w:t>
      </w:r>
      <w:r>
        <w:rPr>
          <w:rFonts w:hint="default" w:ascii="Times New Roman" w:hAnsi="Times New Roman" w:eastAsia="仿宋_GB2312" w:cs="Times New Roman"/>
          <w:sz w:val="28"/>
          <w:szCs w:val="28"/>
          <w:lang w:val="zh-SG" w:eastAsia="zh-SG"/>
        </w:rPr>
        <w:t>预计农用地正常收益的基础上，扣除预计的正常经营成本及有关的费用、利润、税金等价值，余额来估算农用地承包价格的方法</w:t>
      </w:r>
      <w:r>
        <w:rPr>
          <w:rFonts w:hint="default" w:ascii="Times New Roman" w:hAnsi="Times New Roman" w:eastAsia="仿宋_GB2312" w:cs="Times New Roman"/>
          <w:kern w:val="0"/>
          <w:sz w:val="28"/>
          <w:szCs w:val="28"/>
        </w:rPr>
        <w:t>。其基本公式为：</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土地租金=预计的养殖年收益-经营成本-管理费用-投资利息-投资利润-销售费用-增值税等税费</w:t>
      </w:r>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13" w:name="_Hlk25414572"/>
      <w:r>
        <w:rPr>
          <w:rFonts w:hint="default" w:ascii="Times New Roman" w:hAnsi="Times New Roman" w:eastAsia="仿宋_GB2312" w:cs="Times New Roman"/>
          <w:b/>
          <w:bCs/>
          <w:kern w:val="0"/>
          <w:sz w:val="28"/>
          <w:szCs w:val="28"/>
        </w:rPr>
        <w:t>（1）预计的养殖年收入</w:t>
      </w:r>
    </w:p>
    <w:bookmarkEnd w:id="13"/>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根据市场调查，以一亩鱼塘为单位，按常见的鱼种混养，除天灾人祸，普通的养殖技术，亩产约2020斤，按2023年的塘口收购价，预计的每亩养殖年收入为16830元。</w:t>
      </w:r>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14" w:name="_Hlk25414612"/>
      <w:r>
        <w:rPr>
          <w:rFonts w:hint="default" w:ascii="Times New Roman" w:hAnsi="Times New Roman" w:eastAsia="仿宋_GB2312" w:cs="Times New Roman"/>
          <w:b/>
          <w:bCs/>
          <w:kern w:val="0"/>
          <w:sz w:val="28"/>
          <w:szCs w:val="28"/>
        </w:rPr>
        <w:t>（2）经营成本</w:t>
      </w:r>
      <w:bookmarkEnd w:id="14"/>
    </w:p>
    <w:p>
      <w:pPr>
        <w:widowControl/>
        <w:spacing w:line="480" w:lineRule="exact"/>
        <w:ind w:firstLine="560" w:firstLineChars="200"/>
        <w:rPr>
          <w:rFonts w:hint="default" w:ascii="Times New Roman" w:hAnsi="Times New Roman" w:eastAsia="仿宋_GB2312" w:cs="Times New Roman"/>
          <w:kern w:val="0"/>
          <w:sz w:val="28"/>
          <w:szCs w:val="28"/>
        </w:rPr>
      </w:pPr>
      <w:bookmarkStart w:id="15" w:name="_Hlk25413303"/>
      <w:r>
        <w:rPr>
          <w:rFonts w:hint="default" w:ascii="Times New Roman" w:hAnsi="Times New Roman" w:eastAsia="仿宋_GB2312" w:cs="Times New Roman"/>
          <w:kern w:val="0"/>
          <w:sz w:val="28"/>
          <w:szCs w:val="28"/>
        </w:rPr>
        <w:t>由于实际状况下的经营者以个体为主，经营成本主要包括鱼塘租金、鱼苗、养殖饲料药品、死亡损耗、水电费、人工费。</w:t>
      </w:r>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16" w:name="_Hlk25414779"/>
      <w:bookmarkStart w:id="17" w:name="_Hlk25414669"/>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1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①</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鱼塘租金</w:t>
      </w:r>
      <w:bookmarkEnd w:id="16"/>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设定鱼塘租金为X。</w:t>
      </w:r>
    </w:p>
    <w:bookmarkEnd w:id="15"/>
    <w:p>
      <w:pPr>
        <w:widowControl/>
        <w:spacing w:line="480" w:lineRule="exact"/>
        <w:ind w:firstLine="562" w:firstLineChars="200"/>
        <w:rPr>
          <w:rFonts w:hint="default" w:ascii="Times New Roman" w:hAnsi="Times New Roman" w:eastAsia="仿宋_GB2312" w:cs="Times New Roman"/>
          <w:b/>
          <w:bCs/>
          <w:kern w:val="0"/>
          <w:sz w:val="28"/>
          <w:szCs w:val="28"/>
        </w:rPr>
      </w:pPr>
      <w:bookmarkStart w:id="18" w:name="_Hlk25414819"/>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2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②</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鱼苗</w:t>
      </w:r>
      <w:bookmarkEnd w:id="18"/>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鱼苗</w:t>
      </w:r>
      <w:bookmarkStart w:id="19" w:name="_Hlk25414938"/>
      <w:r>
        <w:rPr>
          <w:rFonts w:hint="default" w:ascii="Times New Roman" w:hAnsi="Times New Roman" w:eastAsia="仿宋_GB2312" w:cs="Times New Roman"/>
          <w:kern w:val="0"/>
          <w:sz w:val="28"/>
          <w:szCs w:val="28"/>
        </w:rPr>
        <w:t>的成本</w:t>
      </w:r>
      <w:bookmarkEnd w:id="19"/>
      <w:bookmarkStart w:id="20" w:name="_Hlk25414950"/>
      <w:r>
        <w:rPr>
          <w:rFonts w:hint="default" w:ascii="Times New Roman" w:hAnsi="Times New Roman" w:eastAsia="仿宋_GB2312" w:cs="Times New Roman"/>
          <w:kern w:val="0"/>
          <w:sz w:val="28"/>
          <w:szCs w:val="28"/>
        </w:rPr>
        <w:t>按2023年的市场单价。</w:t>
      </w:r>
      <w:bookmarkEnd w:id="20"/>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21" w:name="_Hlk25414929"/>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3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③</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养殖饲料药品</w:t>
      </w:r>
      <w:bookmarkEnd w:id="21"/>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养殖饲料药品</w:t>
      </w:r>
      <w:bookmarkStart w:id="22" w:name="_Hlk25414976"/>
      <w:r>
        <w:rPr>
          <w:rFonts w:hint="default" w:ascii="Times New Roman" w:hAnsi="Times New Roman" w:eastAsia="仿宋_GB2312" w:cs="Times New Roman"/>
          <w:kern w:val="0"/>
          <w:sz w:val="28"/>
          <w:szCs w:val="28"/>
        </w:rPr>
        <w:t>的成本大概为4.4元/斤。</w:t>
      </w:r>
      <w:bookmarkEnd w:id="22"/>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23" w:name="_Hlk25414966"/>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4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④</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死亡损耗</w:t>
      </w:r>
      <w:bookmarkEnd w:id="23"/>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死亡损耗</w:t>
      </w:r>
      <w:bookmarkStart w:id="24" w:name="_Hlk25414990"/>
      <w:r>
        <w:rPr>
          <w:rFonts w:hint="default" w:ascii="Times New Roman" w:hAnsi="Times New Roman" w:eastAsia="仿宋_GB2312" w:cs="Times New Roman"/>
          <w:kern w:val="0"/>
          <w:sz w:val="28"/>
          <w:szCs w:val="28"/>
        </w:rPr>
        <w:t>的成本大概为0.5元/斤。</w:t>
      </w:r>
      <w:bookmarkEnd w:id="24"/>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25" w:name="_Hlk25414983"/>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5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⑤</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水电费</w:t>
      </w:r>
      <w:bookmarkEnd w:id="25"/>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水电费</w:t>
      </w:r>
      <w:bookmarkStart w:id="26" w:name="_Hlk25415029"/>
      <w:r>
        <w:rPr>
          <w:rFonts w:hint="default" w:ascii="Times New Roman" w:hAnsi="Times New Roman" w:eastAsia="仿宋_GB2312" w:cs="Times New Roman"/>
          <w:kern w:val="0"/>
          <w:sz w:val="28"/>
          <w:szCs w:val="28"/>
        </w:rPr>
        <w:t>的成本大概为</w:t>
      </w:r>
      <w:bookmarkEnd w:id="26"/>
      <w:r>
        <w:rPr>
          <w:rFonts w:hint="default" w:ascii="Times New Roman" w:hAnsi="Times New Roman" w:eastAsia="仿宋_GB2312" w:cs="Times New Roman"/>
          <w:kern w:val="0"/>
          <w:sz w:val="28"/>
          <w:szCs w:val="28"/>
        </w:rPr>
        <w:t>0.45元/斤。</w:t>
      </w:r>
    </w:p>
    <w:p>
      <w:pPr>
        <w:widowControl/>
        <w:spacing w:line="480" w:lineRule="exact"/>
        <w:ind w:firstLine="562" w:firstLineChars="200"/>
        <w:rPr>
          <w:rFonts w:hint="default" w:ascii="Times New Roman" w:hAnsi="Times New Roman" w:eastAsia="仿宋_GB2312" w:cs="Times New Roman"/>
          <w:b/>
          <w:bCs/>
          <w:kern w:val="0"/>
          <w:sz w:val="28"/>
          <w:szCs w:val="28"/>
        </w:rPr>
      </w:pPr>
      <w:bookmarkStart w:id="27" w:name="_Hlk25415023"/>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6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⑥</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人工费</w:t>
      </w:r>
      <w:bookmarkEnd w:id="27"/>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人工费的成本大概每年为700元/亩。</w:t>
      </w:r>
    </w:p>
    <w:bookmarkEnd w:id="17"/>
    <w:p>
      <w:pPr>
        <w:widowControl/>
        <w:spacing w:line="480" w:lineRule="exact"/>
        <w:ind w:firstLine="562" w:firstLineChars="200"/>
        <w:rPr>
          <w:rFonts w:hint="default" w:ascii="Times New Roman" w:hAnsi="Times New Roman" w:eastAsia="仿宋_GB2312" w:cs="Times New Roman"/>
          <w:b/>
          <w:bCs/>
          <w:kern w:val="0"/>
          <w:sz w:val="28"/>
          <w:szCs w:val="28"/>
        </w:rPr>
      </w:pPr>
      <w:bookmarkStart w:id="28" w:name="_Hlk25415071"/>
      <w:r>
        <w:rPr>
          <w:rFonts w:hint="default" w:ascii="Times New Roman" w:hAnsi="Times New Roman" w:eastAsia="仿宋_GB2312" w:cs="Times New Roman"/>
          <w:b/>
          <w:bCs/>
          <w:kern w:val="0"/>
          <w:sz w:val="28"/>
          <w:szCs w:val="28"/>
        </w:rPr>
        <w:t>（3）利润率</w:t>
      </w:r>
      <w:bookmarkEnd w:id="28"/>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经营利润率平均每年的均值不低于15%，本次取值为20%。</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即：</w:t>
      </w:r>
    </w:p>
    <w:p>
      <w:pPr>
        <w:widowControl/>
        <w:spacing w:line="48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1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b/>
          <w:bCs/>
        </w:rPr>
        <w:t>①</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收入测算</w:t>
      </w:r>
    </w:p>
    <w:tbl>
      <w:tblPr>
        <w:tblStyle w:val="21"/>
        <w:tblW w:w="0" w:type="auto"/>
        <w:tblInd w:w="0" w:type="dxa"/>
        <w:tblLayout w:type="autofit"/>
        <w:tblCellMar>
          <w:top w:w="0" w:type="dxa"/>
          <w:left w:w="108" w:type="dxa"/>
          <w:bottom w:w="0" w:type="dxa"/>
          <w:right w:w="108" w:type="dxa"/>
        </w:tblCellMar>
      </w:tblPr>
      <w:tblGrid>
        <w:gridCol w:w="443"/>
        <w:gridCol w:w="1019"/>
        <w:gridCol w:w="517"/>
        <w:gridCol w:w="880"/>
        <w:gridCol w:w="880"/>
        <w:gridCol w:w="655"/>
        <w:gridCol w:w="708"/>
        <w:gridCol w:w="672"/>
        <w:gridCol w:w="934"/>
        <w:gridCol w:w="761"/>
        <w:gridCol w:w="900"/>
        <w:gridCol w:w="917"/>
      </w:tblGrid>
      <w:tr>
        <w:tblPrEx>
          <w:tblCellMar>
            <w:top w:w="0" w:type="dxa"/>
            <w:left w:w="108" w:type="dxa"/>
            <w:bottom w:w="0" w:type="dxa"/>
            <w:right w:w="108" w:type="dxa"/>
          </w:tblCellMar>
        </w:tblPrEx>
        <w:trPr>
          <w:trHeight w:val="49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品种</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单品种养殖平均亩产量（斤）</w:t>
            </w:r>
          </w:p>
        </w:tc>
        <w:tc>
          <w:tcPr>
            <w:tcW w:w="0" w:type="auto"/>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成品鱼</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鱼苗</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鱼种数量配比</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每亩产鱼量（斤）</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塘口收购价（元/斤）</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年收入（元）</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鱼苗成本（元）</w:t>
            </w:r>
          </w:p>
        </w:tc>
      </w:tr>
      <w:tr>
        <w:tblPrEx>
          <w:tblCellMar>
            <w:top w:w="0" w:type="dxa"/>
            <w:left w:w="108" w:type="dxa"/>
            <w:bottom w:w="0" w:type="dxa"/>
            <w:right w:w="108" w:type="dxa"/>
          </w:tblCellMar>
        </w:tblPrEx>
        <w:trPr>
          <w:trHeight w:val="510"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重量</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数量（尾）</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数量（尾）</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死亡损耗率</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单价（元/尾）</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r>
      <w:tr>
        <w:tblPrEx>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草鱼</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4-6斤</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320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0.85</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480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3360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w:t>
            </w:r>
          </w:p>
        </w:tc>
      </w:tr>
      <w:tr>
        <w:tblPrEx>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微软雅黑" w:cs="Times New Roman"/>
                <w:b/>
                <w:bCs/>
                <w:color w:val="000000"/>
                <w:kern w:val="0"/>
                <w:szCs w:val="21"/>
              </w:rPr>
            </w:pPr>
            <w:r>
              <w:rPr>
                <w:rFonts w:hint="default" w:ascii="Times New Roman" w:hAnsi="Times New Roman" w:eastAsia="微软雅黑" w:cs="Times New Roman"/>
                <w:b/>
                <w:bCs/>
                <w:color w:val="000000"/>
                <w:kern w:val="0"/>
                <w:szCs w:val="21"/>
              </w:rPr>
              <w:t>鮰鱼</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3200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3-5斤</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1300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1625</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0.6</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1280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11520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390</w:t>
            </w:r>
          </w:p>
        </w:tc>
      </w:tr>
      <w:tr>
        <w:tblPrEx>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鲫鱼</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2-4斤</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3200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0.3</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6.5</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1950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r>
      <w:tr>
        <w:tblPrEx>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小计</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2060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16830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852</w:t>
            </w:r>
          </w:p>
        </w:tc>
      </w:tr>
    </w:tbl>
    <w:p>
      <w:pPr>
        <w:widowControl/>
        <w:spacing w:line="480" w:lineRule="exact"/>
        <w:ind w:firstLine="560" w:firstLineChars="200"/>
        <w:rPr>
          <w:rFonts w:hint="default" w:ascii="Times New Roman" w:hAnsi="Times New Roman" w:eastAsia="仿宋_GB2312" w:cs="Times New Roman"/>
          <w:kern w:val="0"/>
          <w:sz w:val="28"/>
          <w:szCs w:val="28"/>
        </w:rPr>
      </w:pPr>
    </w:p>
    <w:p>
      <w:pPr>
        <w:widowControl/>
        <w:spacing w:line="50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2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b/>
          <w:bCs/>
        </w:rPr>
        <w:t>②</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租金测算</w:t>
      </w:r>
    </w:p>
    <w:tbl>
      <w:tblPr>
        <w:tblStyle w:val="21"/>
        <w:tblW w:w="8640" w:type="dxa"/>
        <w:tblInd w:w="0"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项目</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标准</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取值</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xml:space="preserve">数量 </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备注</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一</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收入</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亩产鱼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16830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二</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成本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鱼塘租金</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X</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X</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鱼苗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养殖饲料、药品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4.4元/斤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9064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水电费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0.45元/斤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死亡损耗等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0.5元/斤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CellMar>
            <w:top w:w="0" w:type="dxa"/>
            <w:left w:w="108" w:type="dxa"/>
            <w:bottom w:w="0" w:type="dxa"/>
            <w:right w:w="108" w:type="dxa"/>
          </w:tblCellMar>
        </w:tblPrEx>
        <w:trPr>
          <w:trHeight w:val="765" w:hRule="atLeast"/>
        </w:trPr>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人工费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按人工成本12万元/年</w:t>
            </w:r>
          </w:p>
        </w:tc>
      </w:tr>
      <w:tr>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三</w:t>
            </w:r>
          </w:p>
        </w:tc>
        <w:tc>
          <w:tcPr>
            <w:tcW w:w="216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投资回报率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3366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bl>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鱼塘租金X为</w:t>
      </w:r>
      <w:bookmarkStart w:id="29" w:name="_Hlk25413763"/>
      <w:r>
        <w:rPr>
          <w:rFonts w:hint="default" w:ascii="Times New Roman" w:hAnsi="Times New Roman" w:eastAsia="仿宋_GB2312" w:cs="Times New Roman"/>
          <w:kern w:val="0"/>
          <w:sz w:val="28"/>
          <w:szCs w:val="28"/>
        </w:rPr>
        <w:t>891元/亩</w:t>
      </w:r>
      <w:bookmarkEnd w:id="29"/>
      <w:r>
        <w:rPr>
          <w:rFonts w:hint="default" w:ascii="Times New Roman" w:hAnsi="Times New Roman" w:eastAsia="仿宋_GB2312" w:cs="Times New Roman"/>
          <w:kern w:val="0"/>
          <w:sz w:val="28"/>
          <w:szCs w:val="28"/>
        </w:rPr>
        <w:t>。</w:t>
      </w:r>
    </w:p>
    <w:p>
      <w:pPr>
        <w:pStyle w:val="11"/>
        <w:spacing w:line="480" w:lineRule="exact"/>
        <w:ind w:right="3" w:firstLine="562" w:firstLineChars="200"/>
        <w:rPr>
          <w:rFonts w:hint="default" w:ascii="Times New Roman" w:hAnsi="Times New Roman" w:eastAsia="仿宋_GB2312" w:cs="Times New Roman"/>
          <w:b/>
          <w:bCs/>
          <w:sz w:val="28"/>
        </w:rPr>
      </w:pPr>
      <w:r>
        <w:rPr>
          <w:rFonts w:hint="default" w:ascii="Times New Roman" w:hAnsi="Times New Roman" w:eastAsia="仿宋_GB2312" w:cs="Times New Roman"/>
          <w:b/>
          <w:sz w:val="28"/>
          <w:szCs w:val="20"/>
        </w:rPr>
        <w:t>1.3</w:t>
      </w:r>
      <w:r>
        <w:rPr>
          <w:rFonts w:hint="default" w:ascii="Times New Roman" w:hAnsi="Times New Roman" w:eastAsia="仿宋_GB2312" w:cs="Times New Roman"/>
          <w:b/>
          <w:bCs/>
          <w:sz w:val="28"/>
          <w:szCs w:val="28"/>
        </w:rPr>
        <w:t>租金确定</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格因素进行综比较修正得出修正价格，此价格真实反映了土地市场状况，评估出的结果具有可信度；</w:t>
      </w:r>
      <w:r>
        <w:rPr>
          <w:rFonts w:hint="default" w:ascii="Times New Roman" w:hAnsi="Times New Roman" w:eastAsia="仿宋_GB2312" w:cs="Times New Roman"/>
          <w:sz w:val="28"/>
          <w:szCs w:val="28"/>
          <w:lang w:val="zh-SG" w:eastAsia="zh-SG"/>
        </w:rPr>
        <w:t>剩余法指在预计农用地正常收益的基础上，扣除预计的正常经营成本及有关的费用、利润、税金等价值，余额来估算农用地承包价格的方法。</w:t>
      </w:r>
      <w:r>
        <w:rPr>
          <w:rFonts w:hint="default" w:ascii="Times New Roman" w:hAnsi="Times New Roman" w:eastAsia="仿宋_GB2312" w:cs="Times New Roman"/>
          <w:kern w:val="0"/>
          <w:sz w:val="28"/>
          <w:szCs w:val="28"/>
        </w:rPr>
        <w:t>故以简单算术平均法求取两种测算结果作为估价对象承包费用发包单价的标准案例值，即：</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r>
        <w:rPr>
          <w:rFonts w:hint="default" w:ascii="Times New Roman" w:hAnsi="Times New Roman" w:eastAsia="仿宋_GB2312" w:cs="Times New Roman"/>
          <w:kern w:val="0"/>
          <w:sz w:val="28"/>
          <w:szCs w:val="28"/>
          <w:lang w:val="en-US" w:eastAsia="zh-CN"/>
        </w:rPr>
        <w:t>69</w:t>
      </w:r>
      <w:r>
        <w:rPr>
          <w:rFonts w:hint="default" w:ascii="Times New Roman" w:hAnsi="Times New Roman" w:eastAsia="仿宋_GB2312" w:cs="Times New Roman"/>
          <w:kern w:val="0"/>
          <w:sz w:val="28"/>
          <w:szCs w:val="28"/>
        </w:rPr>
        <w:t>元/亩+891元/亩)</w:t>
      </w:r>
      <w:r>
        <w:rPr>
          <w:rFonts w:hint="default" w:ascii="Times New Roman" w:hAnsi="Times New Roman" w:eastAsia="仿宋_GB2312" w:cs="Times New Roman"/>
          <w:kern w:val="0"/>
          <w:sz w:val="28"/>
          <w:szCs w:val="28"/>
        </w:rPr>
        <w:sym w:font="Symbol" w:char="F0B8"/>
      </w:r>
      <w:r>
        <w:rPr>
          <w:rFonts w:hint="default" w:ascii="Times New Roman" w:hAnsi="Times New Roman" w:eastAsia="仿宋_GB2312" w:cs="Times New Roman"/>
          <w:kern w:val="0"/>
          <w:sz w:val="28"/>
          <w:szCs w:val="28"/>
        </w:rPr>
        <w:t>2=8</w:t>
      </w:r>
      <w:r>
        <w:rPr>
          <w:rFonts w:hint="default" w:ascii="Times New Roman" w:hAnsi="Times New Roman" w:eastAsia="仿宋_GB2312" w:cs="Times New Roman"/>
          <w:kern w:val="0"/>
          <w:sz w:val="28"/>
          <w:szCs w:val="28"/>
          <w:lang w:val="en-US" w:eastAsia="zh-CN"/>
        </w:rPr>
        <w:t>80</w:t>
      </w:r>
      <w:r>
        <w:rPr>
          <w:rFonts w:hint="default" w:ascii="Times New Roman" w:hAnsi="Times New Roman" w:eastAsia="仿宋_GB2312" w:cs="Times New Roman"/>
          <w:kern w:val="0"/>
          <w:sz w:val="28"/>
          <w:szCs w:val="28"/>
        </w:rPr>
        <w:t>元/亩。</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通过标准案例，再结合每个区位的实际状况进行修正，得出具体位置的土地承包底价。</w:t>
      </w:r>
    </w:p>
    <w:p>
      <w:pPr>
        <w:pStyle w:val="11"/>
        <w:spacing w:line="480" w:lineRule="exact"/>
        <w:ind w:firstLine="560" w:firstLineChars="200"/>
        <w:textAlignment w:val="baseline"/>
        <w:rPr>
          <w:rFonts w:hint="default" w:ascii="Times New Roman" w:hAnsi="Times New Roman" w:eastAsia="仿宋_GB2312" w:cs="Times New Roman"/>
          <w:sz w:val="28"/>
        </w:rPr>
        <w:sectPr>
          <w:pgSz w:w="11906" w:h="16838"/>
          <w:pgMar w:top="1440" w:right="1418" w:bottom="1440" w:left="1418" w:header="851" w:footer="992" w:gutter="0"/>
          <w:pgNumType w:fmt="decimal"/>
          <w:cols w:space="720" w:num="1"/>
          <w:docGrid w:type="lines" w:linePitch="312" w:charSpace="0"/>
        </w:sectPr>
      </w:pPr>
      <w:r>
        <w:rPr>
          <w:rFonts w:hint="default" w:ascii="Times New Roman" w:hAnsi="Times New Roman" w:eastAsia="仿宋_GB2312" w:cs="Times New Roman"/>
          <w:sz w:val="28"/>
        </w:rPr>
        <w:t>本次评估以一区东2号</w:t>
      </w:r>
      <w:r>
        <w:rPr>
          <w:rFonts w:hint="default" w:ascii="Times New Roman" w:hAnsi="Times New Roman" w:eastAsia="仿宋_GB2312" w:cs="Times New Roman"/>
          <w:spacing w:val="4"/>
          <w:sz w:val="28"/>
        </w:rPr>
        <w:t>坑塘水面（淡水养殖）</w:t>
      </w:r>
      <w:r>
        <w:rPr>
          <w:rFonts w:hint="default" w:ascii="Times New Roman" w:hAnsi="Times New Roman" w:eastAsia="仿宋_GB2312" w:cs="Times New Roman"/>
          <w:sz w:val="28"/>
        </w:rPr>
        <w:t>为基准（100%），根据一区东2号</w:t>
      </w:r>
      <w:r>
        <w:rPr>
          <w:rFonts w:hint="default" w:ascii="Times New Roman" w:hAnsi="Times New Roman" w:eastAsia="仿宋_GB2312" w:cs="Times New Roman"/>
          <w:spacing w:val="4"/>
          <w:sz w:val="28"/>
        </w:rPr>
        <w:t>坑塘水面（淡水养殖）的鱼塘情况、地块通达度、进水能力、保水能力、形状、配套设施等因素综合确定估价对象东台河闸南首坑塘水面（淡水养殖）市场租金价格见下表</w:t>
      </w:r>
      <w:r>
        <w:rPr>
          <w:rFonts w:hint="default" w:ascii="Times New Roman" w:hAnsi="Times New Roman" w:eastAsia="仿宋_GB2312" w:cs="Times New Roman"/>
          <w:sz w:val="28"/>
        </w:rPr>
        <w:t>：</w:t>
      </w:r>
    </w:p>
    <w:tbl>
      <w:tblPr>
        <w:tblStyle w:val="21"/>
        <w:tblW w:w="14440" w:type="dxa"/>
        <w:tblInd w:w="0" w:type="dxa"/>
        <w:tblLayout w:type="autofit"/>
        <w:tblCellMar>
          <w:top w:w="0" w:type="dxa"/>
          <w:left w:w="108" w:type="dxa"/>
          <w:bottom w:w="0" w:type="dxa"/>
          <w:right w:w="108" w:type="dxa"/>
        </w:tblCellMar>
      </w:tblPr>
      <w:tblGrid>
        <w:gridCol w:w="1080"/>
        <w:gridCol w:w="1080"/>
        <w:gridCol w:w="14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390" w:hRule="atLeast"/>
        </w:trPr>
        <w:tc>
          <w:tcPr>
            <w:tcW w:w="1080" w:type="dxa"/>
            <w:vMerge w:val="restart"/>
            <w:tcBorders>
              <w:top w:val="single" w:color="auto" w:sz="8" w:space="0"/>
              <w:left w:val="single" w:color="auto" w:sz="8"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108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区域</w:t>
            </w:r>
          </w:p>
        </w:tc>
        <w:tc>
          <w:tcPr>
            <w:tcW w:w="148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位置</w:t>
            </w:r>
          </w:p>
        </w:tc>
        <w:tc>
          <w:tcPr>
            <w:tcW w:w="108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面积</w:t>
            </w:r>
          </w:p>
        </w:tc>
        <w:tc>
          <w:tcPr>
            <w:tcW w:w="108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样本价</w:t>
            </w:r>
          </w:p>
        </w:tc>
        <w:tc>
          <w:tcPr>
            <w:tcW w:w="6480" w:type="dxa"/>
            <w:gridSpan w:val="6"/>
            <w:tcBorders>
              <w:top w:val="single" w:color="auto" w:sz="8" w:space="0"/>
              <w:left w:val="nil"/>
              <w:bottom w:val="single" w:color="auto" w:sz="4" w:space="0"/>
              <w:right w:val="single" w:color="000000"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鱼塘具体状况</w:t>
            </w:r>
          </w:p>
        </w:tc>
        <w:tc>
          <w:tcPr>
            <w:tcW w:w="108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评估单价（元/亩）</w:t>
            </w:r>
          </w:p>
        </w:tc>
        <w:tc>
          <w:tcPr>
            <w:tcW w:w="1080"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租金总价（万元）</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8"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4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鱼塘状况</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地块通达度</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进水能力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保水能力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形状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配套设施</w:t>
            </w:r>
          </w:p>
        </w:tc>
        <w:tc>
          <w:tcPr>
            <w:tcW w:w="10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b/>
                <w:bCs/>
                <w:color w:val="000000"/>
                <w:kern w:val="0"/>
                <w:sz w:val="18"/>
                <w:szCs w:val="18"/>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25.96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143</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13.08</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一区西 </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4-7号塘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249.18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20.03</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8、9号鱼塘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140.57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11.3</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10号鱼塘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138.12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12.64</w:t>
            </w:r>
          </w:p>
        </w:tc>
      </w:tr>
      <w:tr>
        <w:tblPrEx>
          <w:tblCellMar>
            <w:top w:w="0" w:type="dxa"/>
            <w:left w:w="108" w:type="dxa"/>
            <w:bottom w:w="0" w:type="dxa"/>
            <w:right w:w="108" w:type="dxa"/>
          </w:tblCellMar>
        </w:tblPrEx>
        <w:trPr>
          <w:trHeight w:val="103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11号至12号鱼塘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202.6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97.50%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18.15</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13号塘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159.63</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97.50%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14.3</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333</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97.50%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29.84</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97.50%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101%</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9.86</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253.58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97.00%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849</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21.53</w:t>
            </w:r>
          </w:p>
        </w:tc>
      </w:tr>
      <w:tr>
        <w:tblPrEx>
          <w:tblCellMar>
            <w:top w:w="0" w:type="dxa"/>
            <w:left w:w="108" w:type="dxa"/>
            <w:bottom w:w="0" w:type="dxa"/>
            <w:right w:w="108" w:type="dxa"/>
          </w:tblCellMar>
        </w:tblPrEx>
        <w:trPr>
          <w:trHeight w:val="46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11</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4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1号、5-8号鱼塘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450.24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29.49</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2号、9号鱼塘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565.82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99%</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36.67</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13</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263.86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99%</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17.1</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258.79</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99%</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16.95</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六区东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198.79</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95%</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10.69</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329.05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95%</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3号、4号鱼塘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350.96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94.00%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92.00%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95%</w:t>
            </w: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080"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18.88</w:t>
            </w:r>
          </w:p>
        </w:tc>
      </w:tr>
      <w:tr>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合计</w:t>
            </w:r>
          </w:p>
        </w:tc>
        <w:tc>
          <w:tcPr>
            <w:tcW w:w="14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4173.15</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0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color w:val="000000"/>
                <w:kern w:val="0"/>
                <w:szCs w:val="21"/>
              </w:rPr>
            </w:pPr>
          </w:p>
        </w:tc>
        <w:tc>
          <w:tcPr>
            <w:tcW w:w="108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i w:val="0"/>
                <w:iCs w:val="0"/>
                <w:color w:val="000000"/>
                <w:kern w:val="0"/>
                <w:sz w:val="21"/>
                <w:szCs w:val="21"/>
                <w:u w:val="none"/>
                <w:lang w:val="en-US" w:eastAsia="zh-CN" w:bidi="ar"/>
              </w:rPr>
              <w:t>299.98</w:t>
            </w:r>
          </w:p>
        </w:tc>
      </w:tr>
    </w:tbl>
    <w:p>
      <w:pPr>
        <w:pStyle w:val="11"/>
        <w:spacing w:line="480" w:lineRule="exact"/>
        <w:ind w:firstLine="560" w:firstLineChars="200"/>
        <w:textAlignment w:val="baseline"/>
        <w:rPr>
          <w:rFonts w:hint="default" w:ascii="Times New Roman" w:hAnsi="Times New Roman" w:eastAsia="仿宋_GB2312" w:cs="Times New Roman"/>
          <w:sz w:val="28"/>
        </w:rPr>
        <w:sectPr>
          <w:pgSz w:w="16838" w:h="11906" w:orient="landscape"/>
          <w:pgMar w:top="1417" w:right="1440" w:bottom="1417" w:left="1440" w:header="851" w:footer="992" w:gutter="0"/>
          <w:pgNumType w:fmt="decimal"/>
          <w:cols w:space="720" w:num="1"/>
          <w:docGrid w:type="lines" w:linePitch="312" w:charSpace="0"/>
        </w:sectPr>
      </w:pPr>
    </w:p>
    <w:p>
      <w:pPr>
        <w:widowControl/>
        <w:spacing w:after="156" w:afterLines="50"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估价对象具体发包底价见下表：</w:t>
      </w:r>
    </w:p>
    <w:p>
      <w:pPr>
        <w:widowControl/>
        <w:spacing w:after="156" w:afterLines="50" w:line="500" w:lineRule="exact"/>
        <w:ind w:firstLine="578"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spacing w:val="4"/>
          <w:kern w:val="0"/>
          <w:sz w:val="28"/>
          <w:szCs w:val="28"/>
        </w:rPr>
        <w:t>东台河闸南首坑塘水面（淡水养殖）租金评估结果一览表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458"/>
        <w:gridCol w:w="2055"/>
        <w:gridCol w:w="1486"/>
        <w:gridCol w:w="142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pct"/>
            <w:vMerge w:val="restart"/>
            <w:shd w:val="clear" w:color="000000" w:fill="FFFFFF"/>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序号</w:t>
            </w:r>
          </w:p>
        </w:tc>
        <w:tc>
          <w:tcPr>
            <w:tcW w:w="784" w:type="pct"/>
            <w:vMerge w:val="restart"/>
            <w:shd w:val="clear" w:color="000000" w:fill="FFFFFF"/>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区域</w:t>
            </w:r>
          </w:p>
        </w:tc>
        <w:tc>
          <w:tcPr>
            <w:tcW w:w="1106" w:type="pct"/>
            <w:vMerge w:val="restart"/>
            <w:shd w:val="clear" w:color="000000" w:fill="FFFFFF"/>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位置</w:t>
            </w:r>
          </w:p>
        </w:tc>
        <w:tc>
          <w:tcPr>
            <w:tcW w:w="799" w:type="pct"/>
            <w:vMerge w:val="restart"/>
            <w:shd w:val="clear" w:color="000000" w:fill="FFFFFF"/>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面积</w:t>
            </w:r>
          </w:p>
        </w:tc>
        <w:tc>
          <w:tcPr>
            <w:tcW w:w="767" w:type="pct"/>
            <w:vMerge w:val="restart"/>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评估单价（元/亩）</w:t>
            </w:r>
          </w:p>
        </w:tc>
        <w:tc>
          <w:tcPr>
            <w:tcW w:w="789" w:type="pct"/>
            <w:vMerge w:val="restart"/>
            <w:shd w:val="clear" w:color="auto" w:fill="auto"/>
            <w:vAlign w:val="center"/>
          </w:tcPr>
          <w:p>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租金总价（万元）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2" w:type="pct"/>
            <w:vMerge w:val="continue"/>
            <w:vAlign w:val="center"/>
          </w:tcPr>
          <w:p>
            <w:pPr>
              <w:widowControl/>
              <w:jc w:val="left"/>
              <w:rPr>
                <w:rFonts w:hint="default" w:ascii="Times New Roman" w:hAnsi="Times New Roman" w:eastAsia="仿宋_GB2312" w:cs="Times New Roman"/>
                <w:b/>
                <w:bCs/>
                <w:color w:val="000000"/>
                <w:kern w:val="0"/>
                <w:szCs w:val="21"/>
              </w:rPr>
            </w:pPr>
          </w:p>
        </w:tc>
        <w:tc>
          <w:tcPr>
            <w:tcW w:w="784" w:type="pct"/>
            <w:vMerge w:val="continue"/>
            <w:vAlign w:val="center"/>
          </w:tcPr>
          <w:p>
            <w:pPr>
              <w:widowControl/>
              <w:jc w:val="left"/>
              <w:rPr>
                <w:rFonts w:hint="default" w:ascii="Times New Roman" w:hAnsi="Times New Roman" w:eastAsia="仿宋_GB2312" w:cs="Times New Roman"/>
                <w:b/>
                <w:bCs/>
                <w:color w:val="000000"/>
                <w:kern w:val="0"/>
                <w:szCs w:val="21"/>
              </w:rPr>
            </w:pPr>
          </w:p>
        </w:tc>
        <w:tc>
          <w:tcPr>
            <w:tcW w:w="1106" w:type="pct"/>
            <w:vMerge w:val="continue"/>
            <w:vAlign w:val="center"/>
          </w:tcPr>
          <w:p>
            <w:pPr>
              <w:widowControl/>
              <w:jc w:val="left"/>
              <w:rPr>
                <w:rFonts w:hint="default" w:ascii="Times New Roman" w:hAnsi="Times New Roman" w:eastAsia="仿宋_GB2312" w:cs="Times New Roman"/>
                <w:b/>
                <w:bCs/>
                <w:color w:val="000000"/>
                <w:kern w:val="0"/>
                <w:szCs w:val="21"/>
              </w:rPr>
            </w:pPr>
          </w:p>
        </w:tc>
        <w:tc>
          <w:tcPr>
            <w:tcW w:w="799" w:type="pct"/>
            <w:vMerge w:val="continue"/>
            <w:vAlign w:val="center"/>
          </w:tcPr>
          <w:p>
            <w:pPr>
              <w:widowControl/>
              <w:jc w:val="left"/>
              <w:rPr>
                <w:rFonts w:hint="default" w:ascii="Times New Roman" w:hAnsi="Times New Roman" w:eastAsia="仿宋_GB2312" w:cs="Times New Roman"/>
                <w:b/>
                <w:bCs/>
                <w:color w:val="000000"/>
                <w:kern w:val="0"/>
                <w:szCs w:val="21"/>
              </w:rPr>
            </w:pPr>
          </w:p>
        </w:tc>
        <w:tc>
          <w:tcPr>
            <w:tcW w:w="767" w:type="pct"/>
            <w:vMerge w:val="continue"/>
            <w:vAlign w:val="center"/>
          </w:tcPr>
          <w:p>
            <w:pPr>
              <w:widowControl/>
              <w:jc w:val="left"/>
              <w:rPr>
                <w:rFonts w:hint="default" w:ascii="Times New Roman" w:hAnsi="Times New Roman" w:eastAsia="仿宋_GB2312" w:cs="Times New Roman"/>
                <w:b/>
                <w:bCs/>
                <w:color w:val="000000"/>
                <w:kern w:val="0"/>
                <w:szCs w:val="21"/>
              </w:rPr>
            </w:pPr>
          </w:p>
        </w:tc>
        <w:tc>
          <w:tcPr>
            <w:tcW w:w="789" w:type="pct"/>
            <w:vMerge w:val="continue"/>
            <w:vAlign w:val="center"/>
          </w:tcPr>
          <w:p>
            <w:pPr>
              <w:widowControl/>
              <w:jc w:val="left"/>
              <w:rPr>
                <w:rFonts w:hint="default" w:ascii="Times New Roman" w:hAnsi="Times New Roman" w:eastAsia="仿宋_GB2312" w:cs="Times New Roman"/>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25.96</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143</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 xml:space="preserve">一区西 </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4-7号塘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249.18</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8、9号鱼塘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140.57</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10号鱼塘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138.12</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6</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11号至12号鱼塘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202.6</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7</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13号塘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159.63</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8</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14号鱼塘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333</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9</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15号鱼塘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110</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一区东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1号、2号鱼塘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253.58</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849</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11</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五区东</w:t>
            </w:r>
          </w:p>
        </w:tc>
        <w:tc>
          <w:tcPr>
            <w:tcW w:w="2055" w:type="dxa"/>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1号、5-8号鱼塘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450.24</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12</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五区东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2号、9号鱼塘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565.82</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13</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五区东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3号鱼塘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263.86</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14</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五区东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4号鱼塘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258.79</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15</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六区东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198.79</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16</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七区东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1号、2号鱼塘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329.05</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52"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17</w:t>
            </w:r>
          </w:p>
        </w:tc>
        <w:tc>
          <w:tcPr>
            <w:tcW w:w="1458"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七区东</w:t>
            </w:r>
          </w:p>
        </w:tc>
        <w:tc>
          <w:tcPr>
            <w:tcW w:w="2055"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3号、4号鱼塘</w:t>
            </w:r>
          </w:p>
        </w:tc>
        <w:tc>
          <w:tcPr>
            <w:tcW w:w="1486" w:type="dxa"/>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 w:cs="Times New Roman"/>
                <w:i w:val="0"/>
                <w:iCs w:val="0"/>
                <w:color w:val="000000"/>
                <w:kern w:val="0"/>
                <w:sz w:val="18"/>
                <w:szCs w:val="18"/>
                <w:u w:val="none"/>
                <w:lang w:val="en-US" w:eastAsia="zh-CN" w:bidi="ar"/>
              </w:rPr>
              <w:t>350.96</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37" w:type="pct"/>
            <w:gridSpan w:val="2"/>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合计</w:t>
            </w:r>
          </w:p>
        </w:tc>
        <w:tc>
          <w:tcPr>
            <w:tcW w:w="1106"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799" w:type="pct"/>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4173.15</w:t>
            </w:r>
          </w:p>
        </w:tc>
        <w:tc>
          <w:tcPr>
            <w:tcW w:w="142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p>
        </w:tc>
        <w:tc>
          <w:tcPr>
            <w:tcW w:w="146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宋体" w:cs="Times New Roman"/>
                <w:b/>
                <w:bCs/>
                <w:i w:val="0"/>
                <w:iCs w:val="0"/>
                <w:color w:val="000000"/>
                <w:kern w:val="0"/>
                <w:sz w:val="21"/>
                <w:szCs w:val="21"/>
                <w:u w:val="none"/>
                <w:lang w:val="en-US" w:eastAsia="zh-CN" w:bidi="ar"/>
              </w:rPr>
              <w:t>299.98</w:t>
            </w:r>
          </w:p>
        </w:tc>
      </w:tr>
    </w:tbl>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8"/>
        </w:rPr>
        <w:sectPr>
          <w:pgSz w:w="11906" w:h="16838"/>
          <w:pgMar w:top="1440" w:right="1417" w:bottom="1440" w:left="1417" w:header="851" w:footer="992" w:gutter="0"/>
          <w:pgNumType w:fmt="decimal"/>
          <w:cols w:space="720" w:num="1"/>
          <w:docGrid w:type="lines" w:linePitch="312" w:charSpace="0"/>
        </w:sectPr>
      </w:pPr>
    </w:p>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2、</w:t>
      </w:r>
      <w:r>
        <w:rPr>
          <w:rFonts w:hint="default" w:ascii="Times New Roman" w:hAnsi="Times New Roman" w:eastAsia="仿宋_GB2312" w:cs="Times New Roman"/>
          <w:b/>
          <w:bCs/>
          <w:sz w:val="28"/>
          <w:szCs w:val="28"/>
        </w:rPr>
        <w:t>东台河闸南首（林地）租金的测算</w:t>
      </w:r>
    </w:p>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sz w:val="28"/>
        </w:rPr>
        <w:t>本次评估以七区东</w:t>
      </w:r>
      <w:r>
        <w:rPr>
          <w:rFonts w:hint="default" w:ascii="Times New Roman" w:hAnsi="Times New Roman" w:eastAsia="仿宋_GB2312" w:cs="Times New Roman"/>
          <w:spacing w:val="4"/>
          <w:sz w:val="28"/>
        </w:rPr>
        <w:t>（林地）为样本林地。</w:t>
      </w:r>
    </w:p>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2.1市场比较法</w:t>
      </w:r>
    </w:p>
    <w:p>
      <w:pPr>
        <w:numPr>
          <w:ilvl w:val="0"/>
          <w:numId w:val="3"/>
        </w:numPr>
        <w:adjustRightInd w:val="0"/>
        <w:spacing w:line="480" w:lineRule="exact"/>
        <w:ind w:firstLine="560"/>
        <w:textAlignment w:val="baseline"/>
        <w:outlineLvl w:val="0"/>
        <w:rPr>
          <w:rFonts w:hint="default" w:ascii="Times New Roman" w:hAnsi="Times New Roman" w:eastAsia="仿宋_GB2312" w:cs="Times New Roman"/>
          <w:b/>
          <w:bCs/>
          <w:kern w:val="0"/>
          <w:sz w:val="28"/>
          <w:szCs w:val="20"/>
        </w:rPr>
      </w:pPr>
      <w:r>
        <w:rPr>
          <w:rFonts w:hint="default" w:ascii="Times New Roman" w:hAnsi="Times New Roman" w:eastAsia="仿宋_GB2312" w:cs="Times New Roman"/>
          <w:b/>
          <w:bCs/>
          <w:kern w:val="0"/>
          <w:sz w:val="28"/>
          <w:szCs w:val="20"/>
        </w:rPr>
        <w:t>比较实例选取</w:t>
      </w:r>
    </w:p>
    <w:p>
      <w:pPr>
        <w:pStyle w:val="11"/>
        <w:spacing w:after="156" w:afterLines="50" w:line="48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根据估</w:t>
      </w:r>
      <w:r>
        <w:rPr>
          <w:rFonts w:hint="default" w:ascii="Times New Roman" w:hAnsi="Times New Roman" w:eastAsia="仿宋_GB2312" w:cs="Times New Roman"/>
          <w:sz w:val="28"/>
        </w:rPr>
        <w:t>价对象所处位置、交通条件、基础设施条件等因素，土地估价师搜集了与估价对象处于同一供需圈、均为淡水养殖的多宗土地交易实例，并选取其中三宗作为可比实例。可比实例基本情况如下表：</w:t>
      </w:r>
    </w:p>
    <w:tbl>
      <w:tblPr>
        <w:tblStyle w:val="21"/>
        <w:tblW w:w="9073" w:type="dxa"/>
        <w:tblInd w:w="0" w:type="dxa"/>
        <w:tblLayout w:type="fixed"/>
        <w:tblCellMar>
          <w:top w:w="0" w:type="dxa"/>
          <w:left w:w="0" w:type="dxa"/>
          <w:bottom w:w="0" w:type="dxa"/>
          <w:right w:w="0" w:type="dxa"/>
        </w:tblCellMar>
      </w:tblPr>
      <w:tblGrid>
        <w:gridCol w:w="583"/>
        <w:gridCol w:w="1125"/>
        <w:gridCol w:w="1740"/>
        <w:gridCol w:w="1860"/>
        <w:gridCol w:w="1905"/>
        <w:gridCol w:w="1860"/>
      </w:tblGrid>
      <w:tr>
        <w:tblPrEx>
          <w:tblCellMar>
            <w:top w:w="0" w:type="dxa"/>
            <w:left w:w="0" w:type="dxa"/>
            <w:bottom w:w="0" w:type="dxa"/>
            <w:right w:w="0" w:type="dxa"/>
          </w:tblCellMar>
        </w:tblPrEx>
        <w:trPr>
          <w:trHeight w:val="403" w:hRule="atLeast"/>
        </w:trPr>
        <w:tc>
          <w:tcPr>
            <w:tcW w:w="9073"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_GB2312" w:cs="Times New Roman"/>
                <w:b/>
                <w:bCs/>
                <w:kern w:val="0"/>
                <w:sz w:val="28"/>
                <w:szCs w:val="21"/>
              </w:rPr>
              <w:t>待估土地与比较实例基本情况表</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估价对象</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案例3</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2023/12/31</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正常</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350</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区位条件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交通通达性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r>
      <w:tr>
        <w:tblPrEx>
          <w:tblCellMar>
            <w:top w:w="0" w:type="dxa"/>
            <w:left w:w="0" w:type="dxa"/>
            <w:bottom w:w="0" w:type="dxa"/>
            <w:right w:w="0" w:type="dxa"/>
          </w:tblCellMar>
        </w:tblPrEx>
        <w:trPr>
          <w:trHeight w:val="50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路网状况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G228/G344/S352/S333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G228/G344/S352/S333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G15/G343/G1516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G15/S21/G228</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距市场远近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自然因素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地形坡度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15</w:t>
            </w:r>
            <w:r>
              <w:rPr>
                <w:rFonts w:hint="default" w:ascii="Times New Roman" w:hAnsi="Times New Roman" w:eastAsia="仿宋" w:cs="Times New Roman"/>
                <w:color w:val="000000"/>
                <w:kern w:val="0"/>
                <w:sz w:val="20"/>
                <w:szCs w:val="20"/>
                <w:vertAlign w:val="superscript"/>
                <w:lang w:bidi="ar"/>
              </w:rPr>
              <w:t>0</w:t>
            </w:r>
            <w:r>
              <w:rPr>
                <w:rFonts w:hint="default" w:ascii="Times New Roman" w:hAnsi="Times New Roman" w:eastAsia="仿宋" w:cs="Times New Roman"/>
                <w:color w:val="000000"/>
                <w:kern w:val="0"/>
                <w:sz w:val="20"/>
                <w:szCs w:val="20"/>
                <w:lang w:bidi="ar"/>
              </w:rPr>
              <w:t>-25</w:t>
            </w:r>
            <w:r>
              <w:rPr>
                <w:rFonts w:hint="default" w:ascii="Times New Roman" w:hAnsi="Times New Roman" w:eastAsia="仿宋" w:cs="Times New Roman"/>
                <w:color w:val="000000"/>
                <w:kern w:val="0"/>
                <w:sz w:val="20"/>
                <w:szCs w:val="20"/>
                <w:vertAlign w:val="superscript"/>
                <w:lang w:bidi="ar"/>
              </w:rPr>
              <w:t>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15</w:t>
            </w:r>
            <w:r>
              <w:rPr>
                <w:rFonts w:hint="default" w:ascii="Times New Roman" w:hAnsi="Times New Roman" w:eastAsia="仿宋" w:cs="Times New Roman"/>
                <w:color w:val="000000"/>
                <w:kern w:val="0"/>
                <w:sz w:val="20"/>
                <w:szCs w:val="20"/>
                <w:vertAlign w:val="superscript"/>
                <w:lang w:bidi="ar"/>
              </w:rPr>
              <w:t>0</w:t>
            </w:r>
            <w:r>
              <w:rPr>
                <w:rFonts w:hint="default" w:ascii="Times New Roman" w:hAnsi="Times New Roman" w:eastAsia="仿宋" w:cs="Times New Roman"/>
                <w:color w:val="000000"/>
                <w:kern w:val="0"/>
                <w:sz w:val="20"/>
                <w:szCs w:val="20"/>
                <w:lang w:bidi="ar"/>
              </w:rPr>
              <w:t>-25</w:t>
            </w:r>
            <w:r>
              <w:rPr>
                <w:rFonts w:hint="default" w:ascii="Times New Roman" w:hAnsi="Times New Roman" w:eastAsia="仿宋" w:cs="Times New Roman"/>
                <w:color w:val="000000"/>
                <w:kern w:val="0"/>
                <w:sz w:val="20"/>
                <w:szCs w:val="20"/>
                <w:vertAlign w:val="superscript"/>
                <w:lang w:bidi="ar"/>
              </w:rPr>
              <w:t>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15</w:t>
            </w:r>
            <w:r>
              <w:rPr>
                <w:rFonts w:hint="default" w:ascii="Times New Roman" w:hAnsi="Times New Roman" w:eastAsia="仿宋" w:cs="Times New Roman"/>
                <w:color w:val="000000"/>
                <w:kern w:val="0"/>
                <w:sz w:val="20"/>
                <w:szCs w:val="20"/>
                <w:vertAlign w:val="superscript"/>
                <w:lang w:bidi="ar"/>
              </w:rPr>
              <w:t>0</w:t>
            </w:r>
            <w:r>
              <w:rPr>
                <w:rFonts w:hint="default" w:ascii="Times New Roman" w:hAnsi="Times New Roman" w:eastAsia="仿宋" w:cs="Times New Roman"/>
                <w:color w:val="000000"/>
                <w:kern w:val="0"/>
                <w:sz w:val="20"/>
                <w:szCs w:val="20"/>
                <w:lang w:bidi="ar"/>
              </w:rPr>
              <w:t>-25</w:t>
            </w:r>
            <w:r>
              <w:rPr>
                <w:rFonts w:hint="default" w:ascii="Times New Roman" w:hAnsi="Times New Roman" w:eastAsia="仿宋" w:cs="Times New Roman"/>
                <w:color w:val="000000"/>
                <w:kern w:val="0"/>
                <w:sz w:val="20"/>
                <w:szCs w:val="20"/>
                <w:vertAlign w:val="superscript"/>
                <w:lang w:bidi="ar"/>
              </w:rPr>
              <w:t>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15</w:t>
            </w:r>
            <w:r>
              <w:rPr>
                <w:rFonts w:hint="default" w:ascii="Times New Roman" w:hAnsi="Times New Roman" w:eastAsia="仿宋" w:cs="Times New Roman"/>
                <w:color w:val="000000"/>
                <w:kern w:val="0"/>
                <w:sz w:val="20"/>
                <w:szCs w:val="20"/>
                <w:vertAlign w:val="superscript"/>
                <w:lang w:bidi="ar"/>
              </w:rPr>
              <w:t>0</w:t>
            </w:r>
            <w:r>
              <w:rPr>
                <w:rFonts w:hint="default" w:ascii="Times New Roman" w:hAnsi="Times New Roman" w:eastAsia="仿宋" w:cs="Times New Roman"/>
                <w:color w:val="000000"/>
                <w:kern w:val="0"/>
                <w:sz w:val="20"/>
                <w:szCs w:val="20"/>
                <w:lang w:bidi="ar"/>
              </w:rPr>
              <w:t>-25</w:t>
            </w:r>
            <w:r>
              <w:rPr>
                <w:rFonts w:hint="default" w:ascii="Times New Roman" w:hAnsi="Times New Roman" w:eastAsia="仿宋" w:cs="Times New Roman"/>
                <w:color w:val="000000"/>
                <w:kern w:val="0"/>
                <w:sz w:val="20"/>
                <w:szCs w:val="20"/>
                <w:vertAlign w:val="superscript"/>
                <w:lang w:bidi="ar"/>
              </w:rPr>
              <w:t>0</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土壤质地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有机质含量高、通气透水较好，容易耕作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有机质含量高、通气透水较好，容易耕作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有机质含量高、通气透水较好，容易耕作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有机质含量高、通气透水较好，容易耕作</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盐渍化程度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无盐渍化</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无盐渍化</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无盐渍化</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无盐渍化</w:t>
            </w:r>
          </w:p>
        </w:tc>
      </w:tr>
      <w:tr>
        <w:tblPrEx>
          <w:tblCellMar>
            <w:top w:w="0" w:type="dxa"/>
            <w:left w:w="0" w:type="dxa"/>
            <w:bottom w:w="0" w:type="dxa"/>
            <w:right w:w="0" w:type="dxa"/>
          </w:tblCellMar>
        </w:tblPrEx>
        <w:trPr>
          <w:trHeight w:val="54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日照（小时/年）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2200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2200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2200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2200</w:t>
            </w:r>
          </w:p>
        </w:tc>
      </w:tr>
      <w:tr>
        <w:tblPrEx>
          <w:tblCellMar>
            <w:top w:w="0" w:type="dxa"/>
            <w:left w:w="0" w:type="dxa"/>
            <w:bottom w:w="0" w:type="dxa"/>
            <w:right w:w="0" w:type="dxa"/>
          </w:tblCellMar>
        </w:tblPrEx>
        <w:trPr>
          <w:trHeight w:val="59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年平均气温（℃）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10-20℃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10-20℃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10-20℃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10-20℃</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面积（亩）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108</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80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200</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经营耕作因素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灌溉条件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排水条件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农机应用</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特殊因素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气候条件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土壤条件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其他</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_GB2312" w:cs="Times New Roman"/>
                <w:szCs w:val="21"/>
              </w:rPr>
              <w:t>较优</w:t>
            </w:r>
          </w:p>
        </w:tc>
      </w:tr>
    </w:tbl>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（2）建立价格可比基础</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估价对象与比较案例在付款方式、币种和货币单位、面积内涵和面积单位等方面一致。</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根据待估土地用地的特点和土地估价师收集的资料，具体因素选择如下：</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（3）因素选择</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①</w:t>
      </w:r>
      <w:r>
        <w:rPr>
          <w:rFonts w:hint="default" w:ascii="Times New Roman" w:hAnsi="Times New Roman" w:eastAsia="仿宋_GB2312" w:cs="Times New Roman"/>
          <w:bCs/>
          <w:kern w:val="0"/>
          <w:sz w:val="28"/>
          <w:szCs w:val="20"/>
        </w:rPr>
        <w:t>交易时间：因交易期日的不同而租金存在差异，故需进行期日修正。</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②</w:t>
      </w:r>
      <w:r>
        <w:rPr>
          <w:rFonts w:hint="default" w:ascii="Times New Roman" w:hAnsi="Times New Roman" w:eastAsia="仿宋_GB2312" w:cs="Times New Roman"/>
          <w:bCs/>
          <w:kern w:val="0"/>
          <w:sz w:val="28"/>
          <w:szCs w:val="20"/>
        </w:rPr>
        <w:t>交易情况：考虑交易行为中的一些特殊因素所造成的比较案例租金偏差，将其成交租金修正为正常市场租金。</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③</w:t>
      </w:r>
      <w:r>
        <w:rPr>
          <w:rFonts w:hint="default" w:ascii="Times New Roman" w:hAnsi="Times New Roman" w:eastAsia="仿宋_GB2312" w:cs="Times New Roman"/>
          <w:bCs/>
          <w:kern w:val="0"/>
          <w:sz w:val="28"/>
          <w:szCs w:val="20"/>
        </w:rPr>
        <w:t>交易方式：考虑交易行为中交易方式的不同，而将交易方式修正为同一交易方式的正常市场租金。</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④</w:t>
      </w:r>
      <w:r>
        <w:rPr>
          <w:rFonts w:hint="default" w:ascii="Times New Roman" w:hAnsi="Times New Roman" w:eastAsia="仿宋_GB2312" w:cs="Times New Roman"/>
          <w:bCs/>
          <w:kern w:val="0"/>
          <w:sz w:val="28"/>
          <w:szCs w:val="20"/>
        </w:rPr>
        <w:t>区域因素：主要有区域位置、基础设施状况、交通状况、产业集聚程度、环境状况、自然条件、城市规划限制等。</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⑤</w:t>
      </w:r>
      <w:r>
        <w:rPr>
          <w:rFonts w:hint="default" w:ascii="Times New Roman" w:hAnsi="Times New Roman" w:eastAsia="仿宋_GB2312" w:cs="Times New Roman"/>
          <w:bCs/>
          <w:kern w:val="0"/>
          <w:sz w:val="28"/>
          <w:szCs w:val="20"/>
        </w:rPr>
        <w:t>个别因素：主要指宗地自身条件、开发程度、宗地形状、宗地面积、临路状况、接近对外交通设施距离等。</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cs="Times New Roman"/>
          <w:bCs/>
          <w:kern w:val="0"/>
          <w:sz w:val="28"/>
          <w:szCs w:val="20"/>
        </w:rPr>
        <w:t>⑥</w:t>
      </w:r>
      <w:r>
        <w:rPr>
          <w:rFonts w:hint="default" w:ascii="Times New Roman" w:hAnsi="Times New Roman" w:eastAsia="仿宋_GB2312" w:cs="Times New Roman"/>
          <w:bCs/>
          <w:kern w:val="0"/>
          <w:sz w:val="28"/>
          <w:szCs w:val="20"/>
        </w:rPr>
        <w:t>土地使用年期：将可比实例不同使用年期修正到估价对象使用年期，以消除因土地使用年期不同而对价格带来的影响。</w:t>
      </w:r>
    </w:p>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t>（4）因素条件说明</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整理估价师收集的有关资料，将估价对象与比较案例的因素条件列表表示，见下表。</w:t>
      </w:r>
    </w:p>
    <w:tbl>
      <w:tblPr>
        <w:tblStyle w:val="21"/>
        <w:tblW w:w="0" w:type="auto"/>
        <w:tblInd w:w="0" w:type="dxa"/>
        <w:tblLayout w:type="fixed"/>
        <w:tblCellMar>
          <w:top w:w="0" w:type="dxa"/>
          <w:left w:w="0" w:type="dxa"/>
          <w:bottom w:w="0" w:type="dxa"/>
          <w:right w:w="0" w:type="dxa"/>
        </w:tblCellMar>
      </w:tblPr>
      <w:tblGrid>
        <w:gridCol w:w="659"/>
        <w:gridCol w:w="2084"/>
        <w:gridCol w:w="1575"/>
        <w:gridCol w:w="1515"/>
        <w:gridCol w:w="1545"/>
        <w:gridCol w:w="1560"/>
      </w:tblGrid>
      <w:tr>
        <w:tblPrEx>
          <w:tblCellMar>
            <w:top w:w="0" w:type="dxa"/>
            <w:left w:w="0" w:type="dxa"/>
            <w:bottom w:w="0" w:type="dxa"/>
            <w:right w:w="0" w:type="dxa"/>
          </w:tblCellMar>
        </w:tblPrEx>
        <w:trPr>
          <w:trHeight w:val="403" w:hRule="atLeast"/>
        </w:trPr>
        <w:tc>
          <w:tcPr>
            <w:tcW w:w="893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 w:val="28"/>
                <w:szCs w:val="20"/>
              </w:rPr>
              <w:t>比较因素条件说明表</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估价对象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案例3</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szCs w:val="21"/>
                <w:lang w:eastAsia="zh-CN"/>
              </w:rPr>
            </w:pPr>
            <w:r>
              <w:rPr>
                <w:rFonts w:hint="default" w:ascii="Times New Roman" w:hAnsi="Times New Roman" w:eastAsia="仿宋" w:cs="Times New Roman"/>
                <w:color w:val="000000"/>
                <w:kern w:val="0"/>
                <w:sz w:val="20"/>
                <w:szCs w:val="20"/>
                <w:lang w:bidi="ar"/>
              </w:rPr>
              <w:t>202</w:t>
            </w:r>
            <w:r>
              <w:rPr>
                <w:rFonts w:hint="default" w:ascii="Times New Roman" w:hAnsi="Times New Roman" w:eastAsia="仿宋" w:cs="Times New Roman"/>
                <w:color w:val="000000"/>
                <w:kern w:val="0"/>
                <w:sz w:val="20"/>
                <w:szCs w:val="20"/>
                <w:lang w:val="en-US" w:eastAsia="zh-CN" w:bidi="ar"/>
              </w:rPr>
              <w:t>3</w:t>
            </w:r>
            <w:r>
              <w:rPr>
                <w:rFonts w:hint="default" w:ascii="Times New Roman" w:hAnsi="Times New Roman" w:eastAsia="仿宋" w:cs="Times New Roman"/>
                <w:color w:val="000000"/>
                <w:kern w:val="0"/>
                <w:sz w:val="20"/>
                <w:szCs w:val="20"/>
                <w:lang w:bidi="ar"/>
              </w:rPr>
              <w:t>/1</w:t>
            </w:r>
            <w:r>
              <w:rPr>
                <w:rFonts w:hint="default" w:ascii="Times New Roman" w:hAnsi="Times New Roman" w:eastAsia="仿宋" w:cs="Times New Roman"/>
                <w:color w:val="000000"/>
                <w:kern w:val="0"/>
                <w:sz w:val="20"/>
                <w:szCs w:val="20"/>
                <w:lang w:val="en-US" w:eastAsia="zh-CN" w:bidi="ar"/>
              </w:rPr>
              <w:t>2</w:t>
            </w:r>
            <w:r>
              <w:rPr>
                <w:rFonts w:hint="default" w:ascii="Times New Roman" w:hAnsi="Times New Roman" w:eastAsia="仿宋" w:cs="Times New Roman"/>
                <w:color w:val="000000"/>
                <w:kern w:val="0"/>
                <w:sz w:val="20"/>
                <w:szCs w:val="20"/>
                <w:lang w:bidi="ar"/>
              </w:rPr>
              <w:t>/3</w:t>
            </w:r>
            <w:r>
              <w:rPr>
                <w:rFonts w:hint="default" w:ascii="Times New Roman" w:hAnsi="Times New Roman" w:eastAsia="仿宋" w:cs="Times New Roman"/>
                <w:color w:val="000000"/>
                <w:kern w:val="0"/>
                <w:sz w:val="20"/>
                <w:szCs w:val="2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较近</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较近</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较近</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正常</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正常</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正常</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正常</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350</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规则</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区位条件</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区域社会经济发达、农业现代化水平较高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交通通达性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r>
      <w:tr>
        <w:tblPrEx>
          <w:tblCellMar>
            <w:top w:w="0" w:type="dxa"/>
            <w:left w:w="0" w:type="dxa"/>
            <w:bottom w:w="0" w:type="dxa"/>
            <w:right w:w="0" w:type="dxa"/>
          </w:tblCellMar>
        </w:tblPrEx>
        <w:trPr>
          <w:trHeight w:val="44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路网状况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距市场远近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较远</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自然因素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较规则</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地形坡度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较平坦</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较平坦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较平坦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较平坦</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土壤质地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盐渍化程度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无</w:t>
            </w:r>
          </w:p>
        </w:tc>
      </w:tr>
      <w:tr>
        <w:tblPrEx>
          <w:tblCellMar>
            <w:top w:w="0" w:type="dxa"/>
            <w:left w:w="0" w:type="dxa"/>
            <w:bottom w:w="0" w:type="dxa"/>
            <w:right w:w="0" w:type="dxa"/>
          </w:tblCellMar>
        </w:tblPrEx>
        <w:trPr>
          <w:trHeight w:val="45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日照（小时/年）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较长</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较长</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较长</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较长</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年平均气温（℃）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较适中</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较适中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较适中</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较适中</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面积（亩）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较大</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较大</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较大</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大</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经营耕作因素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灌溉条件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排水条件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农机应用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特殊因素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气候条件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其他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较优</w:t>
            </w:r>
          </w:p>
        </w:tc>
      </w:tr>
    </w:tbl>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t>（5）编制比较因素条件指数</w:t>
      </w:r>
    </w:p>
    <w:p>
      <w:pPr>
        <w:autoSpaceDE w:val="0"/>
        <w:adjustRightInd w:val="0"/>
        <w:spacing w:after="156" w:afterLines="50"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以待估土地的因素条件指数为基数，直接比较分析估价对象和比较案例的交易情况、区域因素、个别因素及使用年期等差别，各比较因素条件指数确定依据如下:</w:t>
      </w:r>
    </w:p>
    <w:tbl>
      <w:tblPr>
        <w:tblStyle w:val="21"/>
        <w:tblW w:w="0" w:type="auto"/>
        <w:jc w:val="center"/>
        <w:tblLayout w:type="fixed"/>
        <w:tblCellMar>
          <w:top w:w="0" w:type="dxa"/>
          <w:left w:w="0" w:type="dxa"/>
          <w:bottom w:w="0" w:type="dxa"/>
          <w:right w:w="0" w:type="dxa"/>
        </w:tblCellMar>
      </w:tblPr>
      <w:tblGrid>
        <w:gridCol w:w="629"/>
        <w:gridCol w:w="2003"/>
        <w:gridCol w:w="1350"/>
        <w:gridCol w:w="1320"/>
        <w:gridCol w:w="1305"/>
        <w:gridCol w:w="1370"/>
      </w:tblGrid>
      <w:tr>
        <w:tblPrEx>
          <w:tblCellMar>
            <w:top w:w="0" w:type="dxa"/>
            <w:left w:w="0" w:type="dxa"/>
            <w:bottom w:w="0" w:type="dxa"/>
            <w:right w:w="0" w:type="dxa"/>
          </w:tblCellMar>
        </w:tblPrEx>
        <w:trPr>
          <w:trHeight w:val="403" w:hRule="atLeast"/>
          <w:jc w:val="center"/>
        </w:trPr>
        <w:tc>
          <w:tcPr>
            <w:tcW w:w="797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color w:val="000000"/>
                <w:sz w:val="20"/>
                <w:szCs w:val="20"/>
              </w:rPr>
            </w:pPr>
            <w:r>
              <w:rPr>
                <w:rFonts w:hint="default" w:ascii="Times New Roman" w:hAnsi="Times New Roman" w:eastAsia="仿宋_GB2312" w:cs="Times New Roman"/>
                <w:b/>
                <w:kern w:val="0"/>
                <w:sz w:val="28"/>
                <w:szCs w:val="20"/>
              </w:rPr>
              <w:t>比较因素条件指数表</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估价对象</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案例3</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交易时间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交易情况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成交单价</w:t>
            </w:r>
            <w:r>
              <w:rPr>
                <w:rFonts w:hint="default" w:ascii="Times New Roman" w:hAnsi="Times New Roman" w:eastAsia="仿宋_GB2312" w:cs="Times New Roman"/>
                <w:b/>
                <w:bCs/>
                <w:kern w:val="0"/>
                <w:szCs w:val="21"/>
              </w:rPr>
              <w:t>（元/亩）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szCs w:val="21"/>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365</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360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区位条件</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区位状况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交通通达性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50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路网状况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距市场远近</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自然因素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地形坡度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土壤质地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盐渍化程度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1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日照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年平均气温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面积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99</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经营耕作因素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灌溉条件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排水条件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农机应用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特殊因素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气候条件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土壤条件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其他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w:t>
            </w:r>
          </w:p>
        </w:tc>
      </w:tr>
    </w:tbl>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1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①</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交易时间</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估价对象与比较案例所在区域都为江苏省市，估价基准日为2023年12月31日，比较案例的交易日期均为2023年，农用地租金市场的发展在此期间并无明显变化，租金总体保持平稳，故不进行估价期日修正。</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2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②</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交易情况</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考虑交易情况是否正常对租金的影响。比较案例1、2、3均为正常市场交易，租金水平为正常市场租金，故不需进行交易情况修正。</w:t>
      </w:r>
    </w:p>
    <w:p>
      <w:p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3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③</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交易方式</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考虑到比较案例的交易方式均为公开市场条件下的成交价，故不需进行交易方式的修正。</w:t>
      </w:r>
    </w:p>
    <w:p>
      <w:pPr>
        <w:autoSpaceDE w:val="0"/>
        <w:adjustRightInd w:val="0"/>
        <w:spacing w:line="520" w:lineRule="exact"/>
        <w:ind w:firstLine="562"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
          <w:kern w:val="0"/>
          <w:sz w:val="28"/>
          <w:szCs w:val="20"/>
        </w:rPr>
        <w:fldChar w:fldCharType="begin"/>
      </w:r>
      <w:r>
        <w:rPr>
          <w:rFonts w:hint="default" w:ascii="Times New Roman" w:hAnsi="Times New Roman" w:eastAsia="仿宋_GB2312" w:cs="Times New Roman"/>
          <w:b/>
          <w:kern w:val="0"/>
          <w:sz w:val="28"/>
          <w:szCs w:val="20"/>
        </w:rPr>
        <w:instrText xml:space="preserve"> = 4 \* GB3 \* MERGEFORMAT </w:instrText>
      </w:r>
      <w:r>
        <w:rPr>
          <w:rFonts w:hint="default" w:ascii="Times New Roman" w:hAnsi="Times New Roman" w:eastAsia="仿宋_GB2312" w:cs="Times New Roman"/>
          <w:b/>
          <w:kern w:val="0"/>
          <w:sz w:val="28"/>
          <w:szCs w:val="20"/>
        </w:rPr>
        <w:fldChar w:fldCharType="separate"/>
      </w:r>
      <w:r>
        <w:rPr>
          <w:rFonts w:hint="default" w:ascii="Times New Roman" w:hAnsi="Times New Roman" w:cs="Times New Roman"/>
        </w:rPr>
        <w:t>④</w:t>
      </w:r>
      <w:r>
        <w:rPr>
          <w:rFonts w:hint="default" w:ascii="Times New Roman" w:hAnsi="Times New Roman" w:eastAsia="仿宋_GB2312" w:cs="Times New Roman"/>
          <w:b/>
          <w:kern w:val="0"/>
          <w:sz w:val="28"/>
          <w:szCs w:val="20"/>
        </w:rPr>
        <w:fldChar w:fldCharType="end"/>
      </w:r>
      <w:r>
        <w:rPr>
          <w:rFonts w:hint="default" w:ascii="Times New Roman" w:hAnsi="Times New Roman" w:eastAsia="仿宋_GB2312" w:cs="Times New Roman"/>
          <w:b/>
          <w:kern w:val="0"/>
          <w:sz w:val="28"/>
          <w:szCs w:val="20"/>
        </w:rPr>
        <w:t>综合因素</w:t>
      </w:r>
    </w:p>
    <w:p>
      <w:pPr>
        <w:autoSpaceDE w:val="0"/>
        <w:adjustRightInd w:val="0"/>
        <w:spacing w:line="52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综合因素包括区位优势、气候条件、相关配套、地块情况及经营现状，以估价对象为基准（100%），进行相应修正。</w:t>
      </w:r>
    </w:p>
    <w:p>
      <w:pPr>
        <w:numPr>
          <w:ilvl w:val="0"/>
          <w:numId w:val="4"/>
        </w:numPr>
        <w:autoSpaceDE w:val="0"/>
        <w:adjustRightInd w:val="0"/>
        <w:spacing w:line="52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因素修正与比准租金测算</w:t>
      </w:r>
    </w:p>
    <w:tbl>
      <w:tblPr>
        <w:tblStyle w:val="21"/>
        <w:tblW w:w="0" w:type="auto"/>
        <w:jc w:val="center"/>
        <w:tblLayout w:type="fixed"/>
        <w:tblCellMar>
          <w:top w:w="0" w:type="dxa"/>
          <w:left w:w="0" w:type="dxa"/>
          <w:bottom w:w="0" w:type="dxa"/>
          <w:right w:w="0" w:type="dxa"/>
        </w:tblCellMar>
      </w:tblPr>
      <w:tblGrid>
        <w:gridCol w:w="844"/>
        <w:gridCol w:w="1752"/>
        <w:gridCol w:w="1659"/>
        <w:gridCol w:w="1659"/>
        <w:gridCol w:w="1659"/>
      </w:tblGrid>
      <w:tr>
        <w:tblPrEx>
          <w:tblCellMar>
            <w:top w:w="0" w:type="dxa"/>
            <w:left w:w="0" w:type="dxa"/>
            <w:bottom w:w="0" w:type="dxa"/>
            <w:right w:w="0" w:type="dxa"/>
          </w:tblCellMar>
        </w:tblPrEx>
        <w:trPr>
          <w:trHeight w:val="402" w:hRule="atLeast"/>
          <w:jc w:val="center"/>
        </w:trPr>
        <w:tc>
          <w:tcPr>
            <w:tcW w:w="7573"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color w:val="000000"/>
                <w:sz w:val="20"/>
                <w:szCs w:val="20"/>
              </w:rPr>
            </w:pPr>
            <w:r>
              <w:rPr>
                <w:rFonts w:hint="default" w:ascii="Times New Roman" w:hAnsi="Times New Roman" w:eastAsia="仿宋_GB2312" w:cs="Times New Roman"/>
                <w:b/>
                <w:kern w:val="0"/>
                <w:sz w:val="28"/>
                <w:szCs w:val="20"/>
              </w:rPr>
              <w:t>因素比较修正系数表</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案例2</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szCs w:val="21"/>
              </w:rPr>
            </w:pPr>
            <w:r>
              <w:rPr>
                <w:rFonts w:hint="default" w:ascii="Times New Roman" w:hAnsi="Times New Roman" w:eastAsia="仿宋" w:cs="Times New Roman"/>
                <w:b/>
                <w:color w:val="000000"/>
                <w:kern w:val="0"/>
                <w:sz w:val="20"/>
                <w:szCs w:val="20"/>
                <w:lang w:bidi="ar"/>
              </w:rPr>
              <w:t>案例3</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东台市</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交易时间</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交易情况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成交单价</w:t>
            </w:r>
            <w:r>
              <w:rPr>
                <w:rFonts w:hint="default" w:ascii="Times New Roman" w:hAnsi="Times New Roman" w:eastAsia="仿宋_GB2312" w:cs="Times New Roman"/>
                <w:b/>
                <w:bCs/>
                <w:kern w:val="0"/>
                <w:szCs w:val="21"/>
              </w:rPr>
              <w:t>（元/亩）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375</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cs="Times New Roman"/>
                <w:color w:val="000000"/>
                <w:szCs w:val="21"/>
              </w:rPr>
              <w:t>350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 w:cs="Times New Roman"/>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规则</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区位条件</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区位状况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交通通达性</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29"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路网状况</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距市场远近</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自然因素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地形坡度</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土壤质地</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盐渍化程度</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日照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年平均气温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面积</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100/99</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经营耕作因素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灌溉条件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排水条件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农机应用</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特殊因素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气候条件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土壤条件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 w:cs="Times New Roman"/>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其他</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综合调整系数</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1.0101</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比准价格（元/亩）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370.00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375.00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353.53</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评估价格（元/亩）</w:t>
            </w:r>
          </w:p>
        </w:tc>
        <w:tc>
          <w:tcPr>
            <w:tcW w:w="4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366</w:t>
            </w:r>
          </w:p>
        </w:tc>
      </w:tr>
    </w:tbl>
    <w:p>
      <w:pPr>
        <w:autoSpaceDE w:val="0"/>
        <w:adjustRightInd w:val="0"/>
        <w:spacing w:line="48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本次评估确定的三个比准租金很接近，故取三者的简单算术平均值作为估价对象客观租金：</w:t>
      </w:r>
    </w:p>
    <w:p>
      <w:pPr>
        <w:autoSpaceDE w:val="0"/>
        <w:adjustRightInd w:val="0"/>
        <w:spacing w:line="480" w:lineRule="exact"/>
        <w:ind w:firstLine="560" w:firstLineChars="200"/>
        <w:rPr>
          <w:rFonts w:hint="default" w:ascii="Times New Roman" w:hAnsi="Times New Roman" w:eastAsia="仿宋_GB2312" w:cs="Times New Roman"/>
          <w:bCs/>
          <w:kern w:val="0"/>
          <w:sz w:val="28"/>
          <w:szCs w:val="20"/>
        </w:rPr>
      </w:pPr>
      <w:r>
        <w:rPr>
          <w:rFonts w:hint="default" w:ascii="Times New Roman" w:hAnsi="Times New Roman" w:eastAsia="仿宋_GB2312" w:cs="Times New Roman"/>
          <w:bCs/>
          <w:kern w:val="0"/>
          <w:sz w:val="28"/>
          <w:szCs w:val="20"/>
        </w:rPr>
        <w:t>（370.00元/亩+375.00元/亩+353.53元/亩）÷3=366元/亩。</w:t>
      </w:r>
    </w:p>
    <w:p>
      <w:pPr>
        <w:autoSpaceDE w:val="0"/>
        <w:adjustRightInd w:val="0"/>
        <w:spacing w:line="48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（7）方法评价</w:t>
      </w:r>
    </w:p>
    <w:p>
      <w:pPr>
        <w:autoSpaceDE w:val="0"/>
        <w:adjustRightInd w:val="0"/>
        <w:spacing w:line="480" w:lineRule="exact"/>
        <w:ind w:firstLine="561"/>
        <w:rPr>
          <w:rFonts w:hint="default" w:ascii="Times New Roman" w:hAnsi="Times New Roman" w:eastAsia="仿宋_GB2312" w:cs="Times New Roman"/>
          <w:kern w:val="0"/>
          <w:sz w:val="28"/>
          <w:szCs w:val="20"/>
        </w:rPr>
      </w:pPr>
      <w:r>
        <w:rPr>
          <w:rFonts w:hint="default" w:ascii="Times New Roman" w:hAnsi="Times New Roman" w:eastAsia="仿宋_GB2312" w:cs="Times New Roman"/>
          <w:bCs/>
          <w:kern w:val="0"/>
          <w:sz w:val="28"/>
          <w:szCs w:val="20"/>
        </w:rPr>
        <w:t>市场比较法的基本思路是在估算估价对象租金时，根据替代原则，将估价对象与具有替代性的，且在估价期日近期市场上交易的类似交易进行比较，并依据后者已知的成交价格，参照估价对象的交易时间、交易情况、交易方式、区域以及个别因素等，修正评出比准租金，最终以交易的类似案例比准租金估算估价对象在估价期日的租金。由于上述各项参数的选取客观、可靠，故采用市场比较法测算的结果可信度较高</w:t>
      </w:r>
      <w:r>
        <w:rPr>
          <w:rFonts w:hint="default" w:ascii="Times New Roman" w:hAnsi="Times New Roman" w:eastAsia="仿宋_GB2312" w:cs="Times New Roman"/>
          <w:kern w:val="0"/>
          <w:sz w:val="28"/>
          <w:szCs w:val="20"/>
        </w:rPr>
        <w:t>。</w:t>
      </w:r>
    </w:p>
    <w:p>
      <w:pPr>
        <w:autoSpaceDE w:val="0"/>
        <w:adjustRightInd w:val="0"/>
        <w:spacing w:line="480" w:lineRule="exact"/>
        <w:ind w:firstLine="562" w:firstLineChars="200"/>
        <w:rPr>
          <w:rFonts w:hint="default" w:ascii="Times New Roman" w:hAnsi="Times New Roman" w:eastAsia="仿宋_GB2312" w:cs="Times New Roman"/>
          <w:b/>
          <w:kern w:val="0"/>
          <w:sz w:val="28"/>
          <w:szCs w:val="20"/>
        </w:rPr>
      </w:pPr>
      <w:r>
        <w:rPr>
          <w:rFonts w:hint="default" w:ascii="Times New Roman" w:hAnsi="Times New Roman" w:eastAsia="仿宋_GB2312" w:cs="Times New Roman"/>
          <w:b/>
          <w:kern w:val="0"/>
          <w:sz w:val="28"/>
          <w:szCs w:val="20"/>
        </w:rPr>
        <w:t>2.2剩余法</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剩余法的基本思路是</w:t>
      </w:r>
      <w:r>
        <w:rPr>
          <w:rFonts w:hint="default" w:ascii="Times New Roman" w:hAnsi="Times New Roman" w:eastAsia="仿宋_GB2312" w:cs="Times New Roman"/>
          <w:sz w:val="28"/>
          <w:szCs w:val="28"/>
          <w:lang w:val="zh-SG" w:eastAsia="zh-SG"/>
        </w:rPr>
        <w:t>预计农用地正常收益的基础上，扣除预计的正常经营成本及有关的费用、利润、税金等价值，余额来估算农用地承包价格的方法</w:t>
      </w:r>
      <w:r>
        <w:rPr>
          <w:rFonts w:hint="default" w:ascii="Times New Roman" w:hAnsi="Times New Roman" w:eastAsia="仿宋_GB2312" w:cs="Times New Roman"/>
          <w:kern w:val="0"/>
          <w:sz w:val="28"/>
          <w:szCs w:val="28"/>
        </w:rPr>
        <w:t>。其基本公式为：</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土地租金=预计的年收益-经营成本-管理费用-投资利息-投资利润-销售费用-增值税等税费</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（1）预计的养殖年收入</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根据市场调查，以一亩林地为单位，按常见的林地内家禽养殖，除天灾人祸，普通的养殖技术，一亩林地养殖200只鸡，每只鸡2.5斤，按2023年的鸡收购价12.5元/斤，预计的每亩养殖年收入为6250元。</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（2）经营成本</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由于实际状况下的经营者以个体为主，经营成本主要包括林地租金、鸡苗、养殖饲料药品、死亡损耗、水电费、人工费。</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1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①</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林地租金</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设定林地租金为X。</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2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②</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鸡苗</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鸡苗的成本按2023年的市场单价，估价对象按250只鸡，每只单价1.2元。</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3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③</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养殖饲料药品</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养殖饲料药品的成本大概为3.6元/斤。</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4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④</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死亡损耗</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死亡损耗率为20%。</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5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⑤</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水电费</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水电费的成本大概为96元/亩。</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fldChar w:fldCharType="begin"/>
      </w:r>
      <w:r>
        <w:rPr>
          <w:rFonts w:hint="default" w:ascii="Times New Roman" w:hAnsi="Times New Roman" w:eastAsia="仿宋_GB2312" w:cs="Times New Roman"/>
          <w:b/>
          <w:bCs/>
          <w:kern w:val="0"/>
          <w:sz w:val="28"/>
          <w:szCs w:val="28"/>
        </w:rPr>
        <w:instrText xml:space="preserve"> = 6 \* GB3 \* MERGEFORMAT </w:instrText>
      </w:r>
      <w:r>
        <w:rPr>
          <w:rFonts w:hint="default" w:ascii="Times New Roman" w:hAnsi="Times New Roman" w:eastAsia="仿宋_GB2312" w:cs="Times New Roman"/>
          <w:b/>
          <w:bCs/>
          <w:kern w:val="0"/>
          <w:sz w:val="28"/>
          <w:szCs w:val="28"/>
        </w:rPr>
        <w:fldChar w:fldCharType="separate"/>
      </w:r>
      <w:r>
        <w:rPr>
          <w:rFonts w:hint="default" w:ascii="Times New Roman" w:hAnsi="Times New Roman" w:cs="Times New Roman"/>
        </w:rPr>
        <w:t>⑥</w:t>
      </w:r>
      <w:r>
        <w:rPr>
          <w:rFonts w:hint="default" w:ascii="Times New Roman" w:hAnsi="Times New Roman" w:eastAsia="仿宋_GB2312" w:cs="Times New Roman"/>
          <w:b/>
          <w:bCs/>
          <w:kern w:val="0"/>
          <w:sz w:val="28"/>
          <w:szCs w:val="28"/>
        </w:rPr>
        <w:fldChar w:fldCharType="end"/>
      </w:r>
      <w:r>
        <w:rPr>
          <w:rFonts w:hint="default" w:ascii="Times New Roman" w:hAnsi="Times New Roman" w:eastAsia="仿宋_GB2312" w:cs="Times New Roman"/>
          <w:b/>
          <w:bCs/>
          <w:kern w:val="0"/>
          <w:sz w:val="28"/>
          <w:szCs w:val="28"/>
        </w:rPr>
        <w:t>人工费</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人工费的成本大概每年为1200元/亩。</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（3）投资回报率</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投资回报率平均每年的均值不低于20%，本次取值为20%。</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即：</w:t>
      </w:r>
    </w:p>
    <w:tbl>
      <w:tblPr>
        <w:tblStyle w:val="21"/>
        <w:tblW w:w="9208" w:type="dxa"/>
        <w:tblInd w:w="0" w:type="dxa"/>
        <w:tblLayout w:type="fixed"/>
        <w:tblCellMar>
          <w:top w:w="0" w:type="dxa"/>
          <w:left w:w="0" w:type="dxa"/>
          <w:bottom w:w="0" w:type="dxa"/>
          <w:right w:w="0" w:type="dxa"/>
        </w:tblCellMar>
      </w:tblPr>
      <w:tblGrid>
        <w:gridCol w:w="718"/>
        <w:gridCol w:w="1050"/>
        <w:gridCol w:w="1530"/>
        <w:gridCol w:w="1398"/>
        <w:gridCol w:w="1079"/>
        <w:gridCol w:w="1080"/>
        <w:gridCol w:w="928"/>
        <w:gridCol w:w="1425"/>
      </w:tblGrid>
      <w:tr>
        <w:tblPrEx>
          <w:tblCellMar>
            <w:top w:w="0" w:type="dxa"/>
            <w:left w:w="0" w:type="dxa"/>
            <w:bottom w:w="0" w:type="dxa"/>
            <w:right w:w="0"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序号</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项目</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标准</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取值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 xml:space="preserve">数量 </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单位</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备注</w:t>
            </w:r>
          </w:p>
        </w:tc>
      </w:tr>
      <w:tr>
        <w:tblPrEx>
          <w:tblCellMar>
            <w:top w:w="0" w:type="dxa"/>
            <w:left w:w="0" w:type="dxa"/>
            <w:bottom w:w="0" w:type="dxa"/>
            <w:right w:w="0" w:type="dxa"/>
          </w:tblCellMar>
        </w:tblPrEx>
        <w:trPr>
          <w:trHeight w:val="358"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收入</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亩养鸡</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500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6250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cente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372" w:hRule="atLeast"/>
        </w:trPr>
        <w:tc>
          <w:tcPr>
            <w:tcW w:w="7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二</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成本</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林地租金</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X</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X</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385"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鸡苗</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250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300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养殖饲料、药品</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3.6元/斤</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1800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363"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水电费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96元/亩</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96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96</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404"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死亡损耗等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20%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369"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人工费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　</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1200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Cs w:val="21"/>
              </w:rPr>
            </w:pPr>
          </w:p>
        </w:tc>
      </w:tr>
      <w:tr>
        <w:tblPrEx>
          <w:tblCellMar>
            <w:top w:w="0" w:type="dxa"/>
            <w:left w:w="0" w:type="dxa"/>
            <w:bottom w:w="0" w:type="dxa"/>
            <w:right w:w="0" w:type="dxa"/>
          </w:tblCellMar>
        </w:tblPrEx>
        <w:trPr>
          <w:trHeight w:val="48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三</w:t>
            </w:r>
          </w:p>
        </w:tc>
        <w:tc>
          <w:tcPr>
            <w:tcW w:w="25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利润率</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color w:val="000000"/>
                <w:szCs w:val="21"/>
              </w:rPr>
              <w:t>1250</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s="Times New Roman"/>
                <w:kern w:val="0"/>
                <w:szCs w:val="21"/>
              </w:rPr>
            </w:pPr>
          </w:p>
        </w:tc>
      </w:tr>
    </w:tbl>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林地租金X为354元/亩。</w:t>
      </w:r>
    </w:p>
    <w:p>
      <w:pPr>
        <w:pStyle w:val="11"/>
        <w:spacing w:line="480" w:lineRule="exact"/>
        <w:ind w:right="3" w:firstLine="562" w:firstLineChars="200"/>
        <w:rPr>
          <w:rFonts w:hint="default" w:ascii="Times New Roman" w:hAnsi="Times New Roman" w:eastAsia="仿宋_GB2312" w:cs="Times New Roman"/>
          <w:b/>
          <w:bCs/>
          <w:sz w:val="28"/>
        </w:rPr>
      </w:pPr>
      <w:r>
        <w:rPr>
          <w:rFonts w:hint="default" w:ascii="Times New Roman" w:hAnsi="Times New Roman" w:eastAsia="仿宋_GB2312" w:cs="Times New Roman"/>
          <w:b/>
          <w:sz w:val="28"/>
          <w:szCs w:val="20"/>
        </w:rPr>
        <w:t>2.3</w:t>
      </w:r>
      <w:r>
        <w:rPr>
          <w:rFonts w:hint="default" w:ascii="Times New Roman" w:hAnsi="Times New Roman" w:eastAsia="仿宋_GB2312" w:cs="Times New Roman"/>
          <w:b/>
          <w:bCs/>
          <w:sz w:val="28"/>
          <w:szCs w:val="28"/>
        </w:rPr>
        <w:t>租金确定</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本次评估采用市场比较法和剩余法测算了估价对象租金，两种方法计算结果相差较小，本次评估以算术平均法求取两种测算结果作为估价对象评估值，即：</w:t>
      </w:r>
    </w:p>
    <w:p>
      <w:pPr>
        <w:widowControl/>
        <w:spacing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（366元/亩+354元/亩）÷2=360元/亩。</w:t>
      </w:r>
    </w:p>
    <w:p>
      <w:pPr>
        <w:widowControl/>
        <w:spacing w:line="480" w:lineRule="exact"/>
        <w:ind w:firstLine="562" w:firstLineChars="20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通过标准案例，再结合每个区位的实际状况进行修正，得出具体位置的土地发包底价。</w:t>
      </w:r>
    </w:p>
    <w:p>
      <w:pPr>
        <w:pStyle w:val="11"/>
        <w:spacing w:line="480" w:lineRule="exact"/>
        <w:ind w:firstLine="560" w:firstLineChars="200"/>
        <w:textAlignment w:val="baseline"/>
        <w:rPr>
          <w:rFonts w:hint="default" w:ascii="Times New Roman" w:hAnsi="Times New Roman" w:eastAsia="仿宋_GB2312" w:cs="Times New Roman"/>
          <w:sz w:val="28"/>
        </w:rPr>
        <w:sectPr>
          <w:pgSz w:w="11906" w:h="16838"/>
          <w:pgMar w:top="1440" w:right="1418" w:bottom="1440" w:left="1418" w:header="851" w:footer="992" w:gutter="0"/>
          <w:pgNumType w:fmt="decimal"/>
          <w:cols w:space="720" w:num="1"/>
          <w:docGrid w:type="lines" w:linePitch="312" w:charSpace="0"/>
        </w:sectPr>
      </w:pPr>
      <w:r>
        <w:rPr>
          <w:rFonts w:hint="default" w:ascii="Times New Roman" w:hAnsi="Times New Roman" w:eastAsia="仿宋_GB2312" w:cs="Times New Roman"/>
          <w:sz w:val="28"/>
        </w:rPr>
        <w:t>本次评估以七区东为基准（100%），根据八区东、九区东（</w:t>
      </w:r>
      <w:r>
        <w:rPr>
          <w:rFonts w:hint="default" w:ascii="Times New Roman" w:hAnsi="Times New Roman" w:eastAsia="仿宋_GB2312" w:cs="Times New Roman"/>
          <w:spacing w:val="4"/>
          <w:sz w:val="28"/>
        </w:rPr>
        <w:t>七、八、九区</w:t>
      </w:r>
      <w:r>
        <w:rPr>
          <w:rFonts w:hint="default" w:ascii="Times New Roman" w:hAnsi="Times New Roman" w:eastAsia="仿宋_GB2312" w:cs="Times New Roman"/>
          <w:sz w:val="28"/>
        </w:rPr>
        <w:t>圩堤</w:t>
      </w:r>
      <w:r>
        <w:rPr>
          <w:rFonts w:hint="default" w:ascii="Times New Roman" w:hAnsi="Times New Roman" w:eastAsia="仿宋_GB2312" w:cs="Times New Roman"/>
          <w:spacing w:val="4"/>
          <w:sz w:val="28"/>
        </w:rPr>
        <w:t>（林地）</w:t>
      </w:r>
      <w:r>
        <w:rPr>
          <w:rFonts w:hint="default" w:ascii="Times New Roman" w:hAnsi="Times New Roman" w:eastAsia="仿宋_GB2312" w:cs="Times New Roman"/>
          <w:sz w:val="28"/>
        </w:rPr>
        <w:t>与基准地块在地块大小、地块形状、坡度、地块通达度、保水能力、配套设施等因素进行调</w:t>
      </w:r>
      <w:r>
        <w:rPr>
          <w:rFonts w:hint="default" w:ascii="Times New Roman" w:hAnsi="Times New Roman" w:eastAsia="仿宋_GB2312" w:cs="Times New Roman"/>
          <w:spacing w:val="4"/>
          <w:sz w:val="28"/>
        </w:rPr>
        <w:t>整，综合确定估价对象东台河闸南首（林地）市场租金价格见下表</w:t>
      </w:r>
      <w:r>
        <w:rPr>
          <w:rFonts w:hint="default" w:ascii="Times New Roman" w:hAnsi="Times New Roman" w:eastAsia="仿宋_GB2312" w:cs="Times New Roman"/>
          <w:sz w:val="28"/>
        </w:rPr>
        <w:t>：</w:t>
      </w:r>
    </w:p>
    <w:tbl>
      <w:tblPr>
        <w:tblStyle w:val="21"/>
        <w:tblW w:w="0" w:type="auto"/>
        <w:tblInd w:w="0" w:type="dxa"/>
        <w:tblLayout w:type="autofit"/>
        <w:tblCellMar>
          <w:top w:w="0" w:type="dxa"/>
          <w:left w:w="108" w:type="dxa"/>
          <w:bottom w:w="0" w:type="dxa"/>
          <w:right w:w="108" w:type="dxa"/>
        </w:tblCellMar>
      </w:tblPr>
      <w:tblGrid>
        <w:gridCol w:w="638"/>
        <w:gridCol w:w="1896"/>
        <w:gridCol w:w="1476"/>
        <w:gridCol w:w="794"/>
        <w:gridCol w:w="989"/>
        <w:gridCol w:w="969"/>
        <w:gridCol w:w="969"/>
        <w:gridCol w:w="969"/>
        <w:gridCol w:w="1120"/>
        <w:gridCol w:w="969"/>
        <w:gridCol w:w="969"/>
        <w:gridCol w:w="1452"/>
        <w:gridCol w:w="895"/>
      </w:tblGrid>
      <w:tr>
        <w:tblPrEx>
          <w:tblCellMar>
            <w:top w:w="0" w:type="dxa"/>
            <w:left w:w="108" w:type="dxa"/>
            <w:bottom w:w="0" w:type="dxa"/>
            <w:right w:w="108" w:type="dxa"/>
          </w:tblCellMar>
        </w:tblPrEx>
        <w:trPr>
          <w:trHeight w:val="49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区域</w:t>
            </w:r>
          </w:p>
        </w:tc>
        <w:tc>
          <w:tcPr>
            <w:tcW w:w="0" w:type="auto"/>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位置</w:t>
            </w:r>
          </w:p>
        </w:tc>
        <w:tc>
          <w:tcPr>
            <w:tcW w:w="0" w:type="auto"/>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面积</w:t>
            </w:r>
          </w:p>
        </w:tc>
        <w:tc>
          <w:tcPr>
            <w:tcW w:w="0" w:type="auto"/>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样本价</w:t>
            </w:r>
          </w:p>
        </w:tc>
        <w:tc>
          <w:tcPr>
            <w:tcW w:w="0" w:type="auto"/>
            <w:gridSpan w:val="6"/>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林地具体状况</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评估单价（元/亩）</w:t>
            </w:r>
          </w:p>
        </w:tc>
        <w:tc>
          <w:tcPr>
            <w:tcW w:w="0" w:type="auto"/>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租金总价</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0" w:type="auto"/>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（亩）</w:t>
            </w:r>
          </w:p>
        </w:tc>
        <w:tc>
          <w:tcPr>
            <w:tcW w:w="0" w:type="auto"/>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（元/亩）</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地块大小</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地块形状</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坡度</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地块通达度</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保水能力</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18"/>
                <w:szCs w:val="18"/>
              </w:rPr>
            </w:pPr>
            <w:r>
              <w:rPr>
                <w:rFonts w:hint="default" w:ascii="Times New Roman" w:hAnsi="Times New Roman" w:eastAsia="仿宋" w:cs="Times New Roman"/>
                <w:b/>
                <w:bCs/>
                <w:color w:val="000000"/>
                <w:kern w:val="0"/>
                <w:sz w:val="18"/>
                <w:szCs w:val="18"/>
              </w:rPr>
              <w:t>配套设施</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（万元）</w:t>
            </w:r>
          </w:p>
        </w:tc>
      </w:tr>
      <w:tr>
        <w:tblPrEx>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1</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二区东</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机站西侧林地</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0.24</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2</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七区东</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18号林</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108</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3.89</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3</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八区东</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20、21号林</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78.9</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2.84</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4</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九区东</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1号林</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44.56</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104.00%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65.00%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234</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5</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七区、八区、九区</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圩堤</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248</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96.00%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332</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8.23</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6</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五区南</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圩堤</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172.06</w:t>
            </w:r>
          </w:p>
        </w:tc>
        <w:tc>
          <w:tcPr>
            <w:tcW w:w="0" w:type="auto"/>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96.00%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102.00%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100.00%</w:t>
            </w:r>
          </w:p>
        </w:tc>
        <w:tc>
          <w:tcPr>
            <w:tcW w:w="0" w:type="auto"/>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98.00%</w:t>
            </w:r>
          </w:p>
        </w:tc>
        <w:tc>
          <w:tcPr>
            <w:tcW w:w="14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8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1.79</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合计</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659.52</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p>
        </w:tc>
        <w:tc>
          <w:tcPr>
            <w:tcW w:w="0" w:type="auto"/>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cs="Times New Roman"/>
                <w:b/>
                <w:bCs/>
                <w:color w:val="000000"/>
                <w:kern w:val="0"/>
                <w:szCs w:val="21"/>
                <w:lang w:val="en-US" w:eastAsia="zh-CN"/>
              </w:rPr>
              <w:t>18.03</w:t>
            </w:r>
          </w:p>
        </w:tc>
      </w:tr>
    </w:tbl>
    <w:p>
      <w:pPr>
        <w:pStyle w:val="11"/>
        <w:spacing w:line="480" w:lineRule="exact"/>
        <w:ind w:firstLine="560" w:firstLineChars="200"/>
        <w:textAlignment w:val="baseline"/>
        <w:rPr>
          <w:rFonts w:hint="default" w:ascii="Times New Roman" w:hAnsi="Times New Roman" w:eastAsia="仿宋_GB2312" w:cs="Times New Roman"/>
          <w:sz w:val="28"/>
        </w:rPr>
        <w:sectPr>
          <w:pgSz w:w="16838" w:h="11906" w:orient="landscape"/>
          <w:pgMar w:top="1417" w:right="1440" w:bottom="1417" w:left="1440" w:header="851" w:footer="992" w:gutter="0"/>
          <w:pgNumType w:fmt="decimal"/>
          <w:cols w:space="720" w:num="1"/>
          <w:docGrid w:type="lines" w:linePitch="312" w:charSpace="0"/>
        </w:sectPr>
      </w:pPr>
    </w:p>
    <w:p>
      <w:pPr>
        <w:widowControl/>
        <w:spacing w:after="156" w:afterLines="50" w:line="5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估价对象具体发包底价见下表：</w:t>
      </w:r>
    </w:p>
    <w:p>
      <w:pPr>
        <w:widowControl/>
        <w:spacing w:after="156" w:afterLines="50" w:line="500" w:lineRule="exact"/>
        <w:ind w:firstLine="578" w:firstLineChars="20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pacing w:val="4"/>
          <w:kern w:val="0"/>
          <w:sz w:val="28"/>
          <w:szCs w:val="28"/>
        </w:rPr>
        <w:t>东台河闸南首（林地）租金评估结果一览表</w:t>
      </w:r>
    </w:p>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8"/>
        </w:rPr>
      </w:pPr>
    </w:p>
    <w:tbl>
      <w:tblPr>
        <w:tblStyle w:val="21"/>
        <w:tblW w:w="8820" w:type="dxa"/>
        <w:tblInd w:w="0" w:type="dxa"/>
        <w:tblLayout w:type="autofit"/>
        <w:tblCellMar>
          <w:top w:w="0" w:type="dxa"/>
          <w:left w:w="108" w:type="dxa"/>
          <w:bottom w:w="0" w:type="dxa"/>
          <w:right w:w="108" w:type="dxa"/>
        </w:tblCellMar>
      </w:tblPr>
      <w:tblGrid>
        <w:gridCol w:w="1080"/>
        <w:gridCol w:w="1940"/>
        <w:gridCol w:w="1480"/>
        <w:gridCol w:w="1080"/>
        <w:gridCol w:w="1080"/>
        <w:gridCol w:w="1080"/>
        <w:gridCol w:w="1080"/>
      </w:tblGrid>
      <w:tr>
        <w:tblPrEx>
          <w:tblCellMar>
            <w:top w:w="0" w:type="dxa"/>
            <w:left w:w="108" w:type="dxa"/>
            <w:bottom w:w="0" w:type="dxa"/>
            <w:right w:w="108" w:type="dxa"/>
          </w:tblCellMar>
        </w:tblPrEx>
        <w:trPr>
          <w:trHeight w:val="49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194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区域</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位置</w:t>
            </w:r>
          </w:p>
        </w:tc>
        <w:tc>
          <w:tcPr>
            <w:tcW w:w="1080"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面积</w:t>
            </w:r>
          </w:p>
        </w:tc>
        <w:tc>
          <w:tcPr>
            <w:tcW w:w="1080"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样本价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评估单价（元/亩）</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租金总价</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1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14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（亩）</w:t>
            </w:r>
          </w:p>
        </w:tc>
        <w:tc>
          <w:tcPr>
            <w:tcW w:w="1080" w:type="dxa"/>
            <w:tcBorders>
              <w:top w:val="nil"/>
              <w:left w:val="nil"/>
              <w:bottom w:val="single" w:color="000000" w:sz="8" w:space="0"/>
              <w:right w:val="single" w:color="000000" w:sz="8"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（元/亩）</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default" w:ascii="Times New Roman" w:hAnsi="Times New Roman" w:cs="Times New Roman"/>
                <w:b/>
                <w:bCs/>
                <w:color w:val="000000"/>
                <w:kern w:val="0"/>
                <w:sz w:val="18"/>
                <w:szCs w:val="18"/>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（万元）</w:t>
            </w:r>
          </w:p>
        </w:tc>
      </w:tr>
      <w:tr>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1</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二区东</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机站西侧林地</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0.24</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2</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七区东</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18号林</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108</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3.89</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3</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八区东</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20、21号林</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78.9</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2.84</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4</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九区东</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1号林</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44.56</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234</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5</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七区、八区、九区</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圩堤</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248</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332</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8.23</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6</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五区南</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圩堤</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172.06</w:t>
            </w:r>
          </w:p>
        </w:tc>
        <w:tc>
          <w:tcPr>
            <w:tcW w:w="1080"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360</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1.79</w:t>
            </w: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合计</w:t>
            </w:r>
          </w:p>
        </w:tc>
        <w:tc>
          <w:tcPr>
            <w:tcW w:w="194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14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659.52</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　</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lang w:val="en-US" w:eastAsia="zh-CN"/>
              </w:rPr>
              <w:t>18.03</w:t>
            </w:r>
          </w:p>
        </w:tc>
      </w:tr>
    </w:tbl>
    <w:p>
      <w:pPr>
        <w:adjustRightInd w:val="0"/>
        <w:spacing w:line="480" w:lineRule="exact"/>
        <w:ind w:firstLine="560"/>
        <w:textAlignment w:val="baseline"/>
        <w:outlineLvl w:val="0"/>
        <w:rPr>
          <w:rFonts w:hint="default" w:ascii="Times New Roman" w:hAnsi="Times New Roman" w:eastAsia="仿宋_GB2312" w:cs="Times New Roman"/>
          <w:b/>
          <w:bCs/>
          <w:kern w:val="0"/>
          <w:sz w:val="28"/>
          <w:szCs w:val="28"/>
        </w:rPr>
        <w:sectPr>
          <w:pgSz w:w="11906" w:h="16838"/>
          <w:pgMar w:top="1440" w:right="1417" w:bottom="1440" w:left="1417" w:header="851" w:footer="992" w:gutter="0"/>
          <w:pgNumType w:fmt="decimal"/>
          <w:cols w:space="720" w:num="1"/>
          <w:docGrid w:type="lines" w:linePitch="312" w:charSpace="0"/>
        </w:sectPr>
      </w:pPr>
    </w:p>
    <w:p>
      <w:pPr>
        <w:widowControl/>
        <w:spacing w:before="156" w:beforeLines="50" w:after="156" w:afterLines="50" w:line="4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三、估价结果</w:t>
      </w:r>
    </w:p>
    <w:p>
      <w:pPr>
        <w:pStyle w:val="11"/>
        <w:spacing w:line="480" w:lineRule="exact"/>
        <w:ind w:right="3" w:firstLine="560"/>
        <w:rPr>
          <w:rFonts w:hint="default" w:ascii="Times New Roman" w:hAnsi="Times New Roman" w:eastAsia="仿宋_GB2312" w:cs="Times New Roman"/>
          <w:b/>
          <w:bCs/>
          <w:sz w:val="28"/>
        </w:rPr>
      </w:pPr>
      <w:r>
        <w:rPr>
          <w:rFonts w:hint="default" w:ascii="Times New Roman" w:hAnsi="Times New Roman" w:eastAsia="仿宋_GB2312" w:cs="Times New Roman"/>
          <w:b/>
          <w:bCs/>
          <w:sz w:val="28"/>
          <w:szCs w:val="28"/>
        </w:rPr>
        <w:t>1、租金确定</w:t>
      </w:r>
    </w:p>
    <w:p>
      <w:pPr>
        <w:widowControl/>
        <w:spacing w:after="312" w:afterLines="100" w:line="4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30" w:name="_Hlk59390394"/>
      <w:r>
        <w:rPr>
          <w:rFonts w:hint="default" w:ascii="Times New Roman" w:hAnsi="Times New Roman" w:eastAsia="仿宋_GB2312" w:cs="Times New Roman"/>
          <w:kern w:val="0"/>
          <w:sz w:val="28"/>
          <w:szCs w:val="28"/>
        </w:rPr>
        <w:t>评估出的结果具有可信度</w:t>
      </w:r>
      <w:bookmarkEnd w:id="30"/>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lang w:val="zh-SG" w:eastAsia="zh-SG"/>
        </w:rPr>
        <w:t>剩余法指在预计农用地正常收益的基础上，扣除预计的正常经营成本及有关的费用、利润、税金等价值，余额来估算农用地承包价格的方法，</w:t>
      </w:r>
      <w:r>
        <w:rPr>
          <w:rFonts w:hint="default" w:ascii="Times New Roman" w:hAnsi="Times New Roman" w:eastAsia="仿宋_GB2312" w:cs="Times New Roman"/>
          <w:kern w:val="0"/>
          <w:sz w:val="28"/>
          <w:szCs w:val="28"/>
        </w:rPr>
        <w:t>评估出的结果具有可信度</w:t>
      </w:r>
      <w:r>
        <w:rPr>
          <w:rFonts w:hint="default" w:ascii="Times New Roman" w:hAnsi="Times New Roman" w:eastAsia="仿宋_GB2312" w:cs="Times New Roman"/>
          <w:sz w:val="28"/>
          <w:szCs w:val="28"/>
          <w:lang w:val="zh-SG" w:eastAsia="zh-SG"/>
        </w:rPr>
        <w:t>。</w:t>
      </w:r>
      <w:r>
        <w:rPr>
          <w:rFonts w:hint="default" w:ascii="Times New Roman" w:hAnsi="Times New Roman" w:eastAsia="仿宋_GB2312" w:cs="Times New Roman"/>
          <w:kern w:val="0"/>
          <w:sz w:val="28"/>
          <w:szCs w:val="28"/>
        </w:rPr>
        <w:t>由于两种方法法测算出来的结果比较接近，以简单算术平均法求取两种测算结果作为估价对象承包费用发包单价的样本值，即：</w:t>
      </w:r>
    </w:p>
    <w:tbl>
      <w:tblPr>
        <w:tblStyle w:val="21"/>
        <w:tblW w:w="0" w:type="auto"/>
        <w:jc w:val="center"/>
        <w:tblLayout w:type="fixed"/>
        <w:tblCellMar>
          <w:top w:w="0" w:type="dxa"/>
          <w:left w:w="108" w:type="dxa"/>
          <w:bottom w:w="0" w:type="dxa"/>
          <w:right w:w="108" w:type="dxa"/>
        </w:tblCellMar>
      </w:tblPr>
      <w:tblGrid>
        <w:gridCol w:w="1160"/>
        <w:gridCol w:w="2096"/>
        <w:gridCol w:w="1559"/>
        <w:gridCol w:w="1559"/>
        <w:gridCol w:w="1559"/>
      </w:tblGrid>
      <w:tr>
        <w:trPr>
          <w:trHeight w:val="280"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地块</w:t>
            </w:r>
          </w:p>
        </w:tc>
        <w:tc>
          <w:tcPr>
            <w:tcW w:w="209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种类</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市场法</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剩余法</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综合价</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（元/亩）</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地块一</w:t>
            </w:r>
          </w:p>
        </w:tc>
        <w:tc>
          <w:tcPr>
            <w:tcW w:w="209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淡水养殖鱼塘</w:t>
            </w:r>
          </w:p>
        </w:tc>
        <w:tc>
          <w:tcPr>
            <w:tcW w:w="155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8</w:t>
            </w:r>
            <w:r>
              <w:rPr>
                <w:rFonts w:hint="default" w:ascii="Times New Roman" w:hAnsi="Times New Roman" w:eastAsia="仿宋_GB2312" w:cs="Times New Roman"/>
                <w:kern w:val="0"/>
                <w:szCs w:val="21"/>
                <w:lang w:val="en-US" w:eastAsia="zh-CN"/>
              </w:rPr>
              <w:t>69</w:t>
            </w:r>
          </w:p>
        </w:tc>
        <w:tc>
          <w:tcPr>
            <w:tcW w:w="155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891</w:t>
            </w:r>
          </w:p>
        </w:tc>
        <w:tc>
          <w:tcPr>
            <w:tcW w:w="155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default" w:ascii="Times New Roman" w:hAnsi="Times New Roman" w:eastAsia="仿宋_GB2312" w:cs="Times New Roman"/>
                <w:b/>
                <w:bCs/>
                <w:kern w:val="0"/>
                <w:szCs w:val="21"/>
              </w:rPr>
              <w:t>8</w:t>
            </w:r>
            <w:r>
              <w:rPr>
                <w:rFonts w:hint="default" w:ascii="Times New Roman" w:hAnsi="Times New Roman" w:eastAsia="仿宋_GB2312" w:cs="Times New Roman"/>
                <w:b/>
                <w:bCs/>
                <w:kern w:val="0"/>
                <w:szCs w:val="21"/>
                <w:lang w:val="en-US" w:eastAsia="zh-CN"/>
              </w:rPr>
              <w:t>80</w:t>
            </w:r>
          </w:p>
        </w:tc>
      </w:tr>
      <w:tr>
        <w:tblPrEx>
          <w:tblCellMar>
            <w:top w:w="0" w:type="dxa"/>
            <w:left w:w="108" w:type="dxa"/>
            <w:bottom w:w="0" w:type="dxa"/>
            <w:right w:w="108" w:type="dxa"/>
          </w:tblCellMar>
        </w:tblPrEx>
        <w:trPr>
          <w:trHeight w:val="690"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地块二</w:t>
            </w:r>
          </w:p>
        </w:tc>
        <w:tc>
          <w:tcPr>
            <w:tcW w:w="20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林地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366</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354</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360</w:t>
            </w:r>
          </w:p>
        </w:tc>
      </w:tr>
    </w:tbl>
    <w:p>
      <w:pPr>
        <w:widowControl/>
        <w:spacing w:before="312" w:beforeLines="100" w:line="48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通过样本，再结合每个区位的实际状况进行修正，得出具体位置的土地承包底价。</w:t>
      </w:r>
    </w:p>
    <w:p>
      <w:pPr>
        <w:widowControl/>
        <w:spacing w:line="480" w:lineRule="exact"/>
        <w:ind w:firstLine="560" w:firstLineChars="200"/>
        <w:rPr>
          <w:rFonts w:hint="default" w:ascii="Times New Roman" w:hAnsi="Times New Roman" w:eastAsia="仿宋_GB2312" w:cs="Times New Roman"/>
          <w:sz w:val="28"/>
          <w:szCs w:val="28"/>
          <w:lang w:val="zh-SG" w:eastAsia="zh-SG"/>
        </w:rPr>
      </w:pPr>
      <w:r>
        <w:rPr>
          <w:rFonts w:hint="default" w:ascii="Times New Roman" w:hAnsi="Times New Roman" w:eastAsia="仿宋_GB2312" w:cs="Times New Roman"/>
          <w:sz w:val="28"/>
          <w:szCs w:val="28"/>
          <w:lang w:val="zh-SG" w:eastAsia="zh-SG"/>
        </w:rPr>
        <w:t>估价对象</w:t>
      </w:r>
      <w:bookmarkStart w:id="31" w:name="_Hlk25413492"/>
      <w:r>
        <w:rPr>
          <w:rFonts w:hint="default" w:ascii="Times New Roman" w:hAnsi="Times New Roman" w:eastAsia="仿宋_GB2312" w:cs="Times New Roman"/>
          <w:sz w:val="28"/>
          <w:szCs w:val="28"/>
          <w:lang w:val="zh-SG" w:eastAsia="zh-SG"/>
        </w:rPr>
        <w:t>具体发包底价</w:t>
      </w:r>
      <w:bookmarkEnd w:id="31"/>
      <w:r>
        <w:rPr>
          <w:rFonts w:hint="default" w:ascii="Times New Roman" w:hAnsi="Times New Roman" w:eastAsia="仿宋_GB2312" w:cs="Times New Roman"/>
          <w:sz w:val="28"/>
          <w:szCs w:val="28"/>
          <w:lang w:val="zh-SG" w:eastAsia="zh-SG"/>
        </w:rPr>
        <w:t>见下表：</w:t>
      </w:r>
    </w:p>
    <w:p>
      <w:pPr>
        <w:widowControl/>
        <w:spacing w:line="480" w:lineRule="exact"/>
        <w:ind w:firstLine="562" w:firstLineChars="200"/>
        <w:rPr>
          <w:rFonts w:hint="default" w:ascii="Times New Roman" w:hAnsi="Times New Roman" w:eastAsia="仿宋_GB2312" w:cs="Times New Roman"/>
          <w:b/>
          <w:bCs/>
          <w:sz w:val="28"/>
          <w:szCs w:val="28"/>
          <w:lang w:val="zh-SG" w:eastAsia="zh-SG"/>
        </w:rPr>
      </w:pPr>
      <w:bookmarkStart w:id="32" w:name="_Hlk59389234"/>
      <w:r>
        <w:rPr>
          <w:rFonts w:hint="default" w:ascii="Times New Roman" w:hAnsi="Times New Roman" w:eastAsia="仿宋_GB2312" w:cs="Times New Roman"/>
          <w:b/>
          <w:bCs/>
          <w:sz w:val="28"/>
          <w:szCs w:val="28"/>
          <w:lang w:val="zh-SG" w:eastAsia="zh-SG"/>
        </w:rPr>
        <w:t>（1）地块一，位于东台河闸南首（淡水养殖）</w:t>
      </w:r>
    </w:p>
    <w:p>
      <w:pPr>
        <w:widowControl/>
        <w:spacing w:line="480" w:lineRule="exact"/>
        <w:ind w:firstLine="562" w:firstLineChars="200"/>
        <w:rPr>
          <w:rFonts w:hint="default" w:ascii="Times New Roman" w:hAnsi="Times New Roman" w:eastAsia="仿宋_GB2312" w:cs="Times New Roman"/>
          <w:b/>
          <w:bCs/>
          <w:sz w:val="28"/>
          <w:szCs w:val="28"/>
          <w:lang w:val="zh-SG" w:eastAsia="zh-SG"/>
        </w:rPr>
      </w:pPr>
      <w:r>
        <w:rPr>
          <w:rFonts w:hint="default" w:ascii="Times New Roman" w:hAnsi="Times New Roman" w:eastAsia="仿宋_GB2312" w:cs="Times New Roman"/>
          <w:b/>
          <w:bCs/>
          <w:sz w:val="28"/>
          <w:szCs w:val="28"/>
          <w:lang w:val="zh-SG" w:eastAsia="zh-SG"/>
        </w:rPr>
        <w:t>东台河闸南首（淡水养殖）租金评估结果一览表</w:t>
      </w:r>
    </w:p>
    <w:tbl>
      <w:tblPr>
        <w:tblStyle w:val="21"/>
        <w:tblW w:w="4998" w:type="pct"/>
        <w:tblInd w:w="0" w:type="dxa"/>
        <w:tblLayout w:type="autofit"/>
        <w:tblCellMar>
          <w:top w:w="0" w:type="dxa"/>
          <w:left w:w="108" w:type="dxa"/>
          <w:bottom w:w="0" w:type="dxa"/>
          <w:right w:w="108" w:type="dxa"/>
        </w:tblCellMar>
      </w:tblPr>
      <w:tblGrid>
        <w:gridCol w:w="720"/>
        <w:gridCol w:w="944"/>
        <w:gridCol w:w="2010"/>
        <w:gridCol w:w="1122"/>
        <w:gridCol w:w="2137"/>
        <w:gridCol w:w="2074"/>
        <w:gridCol w:w="277"/>
      </w:tblGrid>
      <w:tr>
        <w:tblPrEx>
          <w:tblCellMar>
            <w:top w:w="0" w:type="dxa"/>
            <w:left w:w="108" w:type="dxa"/>
            <w:bottom w:w="0" w:type="dxa"/>
            <w:right w:w="108" w:type="dxa"/>
          </w:tblCellMar>
        </w:tblPrEx>
        <w:trPr>
          <w:gridAfter w:val="1"/>
          <w:wAfter w:w="149" w:type="pct"/>
          <w:trHeight w:val="390" w:hRule="atLeast"/>
        </w:trPr>
        <w:tc>
          <w:tcPr>
            <w:tcW w:w="388" w:type="pct"/>
            <w:vMerge w:val="restart"/>
            <w:tcBorders>
              <w:top w:val="single" w:color="auto" w:sz="8" w:space="0"/>
              <w:left w:val="single" w:color="auto" w:sz="8"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507" w:type="pct"/>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区域</w:t>
            </w:r>
          </w:p>
        </w:tc>
        <w:tc>
          <w:tcPr>
            <w:tcW w:w="1082" w:type="pct"/>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位置</w:t>
            </w:r>
          </w:p>
        </w:tc>
        <w:tc>
          <w:tcPr>
            <w:tcW w:w="604" w:type="pct"/>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面积</w:t>
            </w:r>
          </w:p>
        </w:tc>
        <w:tc>
          <w:tcPr>
            <w:tcW w:w="1150" w:type="pct"/>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评估单价（元/亩）</w:t>
            </w:r>
          </w:p>
        </w:tc>
        <w:tc>
          <w:tcPr>
            <w:tcW w:w="1116" w:type="pct"/>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租金总价（万元）</w:t>
            </w:r>
          </w:p>
        </w:tc>
      </w:tr>
      <w:tr>
        <w:tblPrEx>
          <w:tblCellMar>
            <w:top w:w="0" w:type="dxa"/>
            <w:left w:w="108" w:type="dxa"/>
            <w:bottom w:w="0" w:type="dxa"/>
            <w:right w:w="108" w:type="dxa"/>
          </w:tblCellMar>
        </w:tblPrEx>
        <w:trPr>
          <w:trHeight w:val="285" w:hRule="atLeast"/>
        </w:trPr>
        <w:tc>
          <w:tcPr>
            <w:tcW w:w="388" w:type="pct"/>
            <w:vMerge w:val="continue"/>
            <w:tcBorders>
              <w:top w:val="single" w:color="auto" w:sz="8"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507"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082"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604"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150"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b/>
                <w:bCs/>
                <w:color w:val="000000"/>
                <w:kern w:val="0"/>
                <w:sz w:val="18"/>
                <w:szCs w:val="18"/>
              </w:rPr>
            </w:pPr>
          </w:p>
        </w:tc>
        <w:tc>
          <w:tcPr>
            <w:tcW w:w="1116" w:type="pct"/>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b/>
                <w:bCs/>
                <w:color w:val="000000"/>
                <w:kern w:val="0"/>
                <w:sz w:val="18"/>
                <w:szCs w:val="18"/>
              </w:rPr>
            </w:pPr>
          </w:p>
        </w:tc>
        <w:tc>
          <w:tcPr>
            <w:tcW w:w="149" w:type="pct"/>
            <w:tcBorders>
              <w:top w:val="nil"/>
              <w:left w:val="nil"/>
              <w:bottom w:val="nil"/>
              <w:right w:val="nil"/>
            </w:tcBorders>
            <w:shd w:val="clear" w:color="auto" w:fill="auto"/>
            <w:noWrap/>
            <w:vAlign w:val="center"/>
          </w:tcPr>
          <w:p>
            <w:pPr>
              <w:widowControl/>
              <w:jc w:val="center"/>
              <w:rPr>
                <w:rFonts w:hint="default" w:ascii="Times New Roman" w:hAnsi="Times New Roman" w:cs="Times New Roman"/>
                <w:b/>
                <w:bCs/>
                <w:color w:val="000000"/>
                <w:kern w:val="0"/>
                <w:sz w:val="18"/>
                <w:szCs w:val="18"/>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25.96</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143</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13.08</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2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一区西 </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4-7号塘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249.18</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20.03</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8、9号鱼塘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140.57</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2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10号鱼塘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138.12</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12.64</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37"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11号至12号鱼塘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202.6</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18.15</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94"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13号塘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159.63</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14号鱼塘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333</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29.84</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一区西</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110</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9.86</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253.58</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849</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21.53</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6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11</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1号、5-8号鱼塘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450.24</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29.49</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2号、9号鱼塘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565.82</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36.67</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2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13</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263.86</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14</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五区东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258.79</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16.95</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2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15</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六区东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198.79</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10.69</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1号、2号鱼塘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329.05</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388"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17</w:t>
            </w:r>
          </w:p>
        </w:tc>
        <w:tc>
          <w:tcPr>
            <w:tcW w:w="5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七区东</w:t>
            </w:r>
          </w:p>
        </w:tc>
        <w:tc>
          <w:tcPr>
            <w:tcW w:w="108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3号、4号鱼塘</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350.96</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1116" w:type="pct"/>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18.88</w:t>
            </w:r>
          </w:p>
        </w:tc>
        <w:tc>
          <w:tcPr>
            <w:tcW w:w="149" w:type="pct"/>
            <w:vAlign w:val="center"/>
          </w:tcPr>
          <w:p>
            <w:pPr>
              <w:widowControl/>
              <w:jc w:val="left"/>
              <w:rPr>
                <w:rFonts w:hint="default"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5" w:hRule="atLeast"/>
        </w:trPr>
        <w:tc>
          <w:tcPr>
            <w:tcW w:w="896" w:type="pct"/>
            <w:gridSpan w:val="2"/>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合计</w:t>
            </w:r>
          </w:p>
        </w:tc>
        <w:tc>
          <w:tcPr>
            <w:tcW w:w="1082" w:type="pct"/>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604" w:type="pct"/>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4173.15</w:t>
            </w:r>
          </w:p>
        </w:tc>
        <w:tc>
          <w:tcPr>
            <w:tcW w:w="1150" w:type="pct"/>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color w:val="000000"/>
                <w:kern w:val="0"/>
                <w:szCs w:val="21"/>
              </w:rPr>
            </w:pPr>
          </w:p>
        </w:tc>
        <w:tc>
          <w:tcPr>
            <w:tcW w:w="1116" w:type="pct"/>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i w:val="0"/>
                <w:iCs w:val="0"/>
                <w:color w:val="000000"/>
                <w:kern w:val="0"/>
                <w:sz w:val="21"/>
                <w:szCs w:val="21"/>
                <w:u w:val="none"/>
                <w:lang w:val="en-US" w:eastAsia="zh-CN" w:bidi="ar"/>
              </w:rPr>
              <w:t>299.98</w:t>
            </w:r>
          </w:p>
        </w:tc>
        <w:tc>
          <w:tcPr>
            <w:tcW w:w="149" w:type="pct"/>
            <w:vAlign w:val="center"/>
          </w:tcPr>
          <w:p>
            <w:pPr>
              <w:widowControl/>
              <w:jc w:val="left"/>
              <w:rPr>
                <w:rFonts w:hint="default" w:ascii="Times New Roman" w:hAnsi="Times New Roman" w:eastAsia="Times New Roman" w:cs="Times New Roman"/>
                <w:kern w:val="0"/>
                <w:sz w:val="20"/>
                <w:szCs w:val="20"/>
              </w:rPr>
            </w:pPr>
          </w:p>
        </w:tc>
      </w:tr>
    </w:tbl>
    <w:p>
      <w:pPr>
        <w:widowControl/>
        <w:spacing w:line="480" w:lineRule="exact"/>
        <w:ind w:firstLine="562" w:firstLineChars="200"/>
        <w:rPr>
          <w:rFonts w:hint="default" w:ascii="Times New Roman" w:hAnsi="Times New Roman" w:eastAsia="仿宋_GB2312" w:cs="Times New Roman"/>
          <w:b/>
          <w:bCs/>
          <w:sz w:val="28"/>
          <w:szCs w:val="28"/>
          <w:lang w:val="zh-SG" w:eastAsia="zh-SG"/>
        </w:rPr>
      </w:pPr>
    </w:p>
    <w:bookmarkEnd w:id="32"/>
    <w:p>
      <w:pPr>
        <w:widowControl/>
        <w:spacing w:line="480" w:lineRule="exact"/>
        <w:ind w:firstLine="562" w:firstLineChars="200"/>
        <w:rPr>
          <w:rFonts w:hint="default" w:ascii="Times New Roman" w:hAnsi="Times New Roman" w:eastAsia="仿宋_GB2312" w:cs="Times New Roman"/>
          <w:b/>
          <w:bCs/>
          <w:sz w:val="28"/>
          <w:szCs w:val="28"/>
          <w:lang w:val="zh-SG"/>
        </w:rPr>
      </w:pPr>
      <w:r>
        <w:rPr>
          <w:rFonts w:hint="default" w:ascii="Times New Roman" w:hAnsi="Times New Roman" w:eastAsia="仿宋_GB2312" w:cs="Times New Roman"/>
          <w:b/>
          <w:bCs/>
          <w:sz w:val="28"/>
          <w:szCs w:val="28"/>
          <w:lang w:val="zh-SG" w:eastAsia="zh-SG"/>
        </w:rPr>
        <w:t>（</w:t>
      </w: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zh-SG" w:eastAsia="zh-SG"/>
        </w:rPr>
        <w:t>）地块</w:t>
      </w:r>
      <w:r>
        <w:rPr>
          <w:rFonts w:hint="default" w:ascii="Times New Roman" w:hAnsi="Times New Roman" w:eastAsia="仿宋_GB2312" w:cs="Times New Roman"/>
          <w:b/>
          <w:bCs/>
          <w:sz w:val="28"/>
          <w:szCs w:val="28"/>
          <w:lang w:val="zh-SG"/>
        </w:rPr>
        <w:t>二</w:t>
      </w:r>
      <w:r>
        <w:rPr>
          <w:rFonts w:hint="default" w:ascii="Times New Roman" w:hAnsi="Times New Roman" w:eastAsia="仿宋_GB2312" w:cs="Times New Roman"/>
          <w:b/>
          <w:bCs/>
          <w:sz w:val="28"/>
          <w:szCs w:val="28"/>
          <w:lang w:val="zh-SG" w:eastAsia="zh-SG"/>
        </w:rPr>
        <w:t>，位于东台河闸南首</w:t>
      </w:r>
      <w:r>
        <w:rPr>
          <w:rFonts w:hint="default" w:ascii="Times New Roman" w:hAnsi="Times New Roman" w:eastAsia="仿宋_GB2312" w:cs="Times New Roman"/>
          <w:b/>
          <w:bCs/>
          <w:sz w:val="28"/>
          <w:szCs w:val="28"/>
          <w:lang w:val="zh-SG"/>
        </w:rPr>
        <w:t>（林地）</w:t>
      </w:r>
    </w:p>
    <w:p>
      <w:pPr>
        <w:widowControl/>
        <w:spacing w:after="156" w:afterLines="50" w:line="500" w:lineRule="exact"/>
        <w:ind w:firstLine="578" w:firstLineChars="20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spacing w:val="4"/>
          <w:kern w:val="0"/>
          <w:sz w:val="28"/>
          <w:szCs w:val="28"/>
        </w:rPr>
        <w:t>东台河闸南首（林地）租金评估结果一览表</w:t>
      </w:r>
    </w:p>
    <w:tbl>
      <w:tblPr>
        <w:tblStyle w:val="21"/>
        <w:tblW w:w="8820" w:type="dxa"/>
        <w:tblInd w:w="0" w:type="dxa"/>
        <w:tblLayout w:type="autofit"/>
        <w:tblCellMar>
          <w:top w:w="0" w:type="dxa"/>
          <w:left w:w="0" w:type="dxa"/>
          <w:bottom w:w="0" w:type="dxa"/>
          <w:right w:w="0" w:type="dxa"/>
        </w:tblCellMar>
      </w:tblPr>
      <w:tblGrid>
        <w:gridCol w:w="1080"/>
        <w:gridCol w:w="1940"/>
        <w:gridCol w:w="1480"/>
        <w:gridCol w:w="1080"/>
        <w:gridCol w:w="1080"/>
        <w:gridCol w:w="1080"/>
        <w:gridCol w:w="1080"/>
      </w:tblGrid>
      <w:tr>
        <w:tblPrEx>
          <w:tblCellMar>
            <w:top w:w="0" w:type="dxa"/>
            <w:left w:w="0" w:type="dxa"/>
            <w:bottom w:w="0" w:type="dxa"/>
            <w:right w:w="0" w:type="dxa"/>
          </w:tblCellMar>
        </w:tblPrEx>
        <w:trPr>
          <w:trHeight w:val="49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0" w:type="dxa"/>
              <w:right w:w="15" w:type="dxa"/>
            </w:tcMar>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sz w:val="18"/>
                <w:szCs w:val="18"/>
              </w:rPr>
              <w:t>序号</w:t>
            </w:r>
          </w:p>
        </w:tc>
        <w:tc>
          <w:tcPr>
            <w:tcW w:w="1940" w:type="dxa"/>
            <w:vMerge w:val="restart"/>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区域</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位置</w:t>
            </w:r>
          </w:p>
        </w:tc>
        <w:tc>
          <w:tcPr>
            <w:tcW w:w="1080" w:type="dxa"/>
            <w:tcBorders>
              <w:top w:val="single" w:color="000000" w:sz="8" w:space="0"/>
              <w:left w:val="nil"/>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面积</w:t>
            </w:r>
          </w:p>
        </w:tc>
        <w:tc>
          <w:tcPr>
            <w:tcW w:w="1080" w:type="dxa"/>
            <w:tcBorders>
              <w:top w:val="single" w:color="000000" w:sz="8" w:space="0"/>
              <w:left w:val="nil"/>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样本价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评估单价（元/亩）</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租金总价</w:t>
            </w:r>
          </w:p>
        </w:tc>
      </w:tr>
      <w:tr>
        <w:tblPrEx>
          <w:tblCellMar>
            <w:top w:w="0" w:type="dxa"/>
            <w:left w:w="0" w:type="dxa"/>
            <w:bottom w:w="0" w:type="dxa"/>
            <w:right w:w="0"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b/>
                <w:bCs/>
                <w:color w:val="000000"/>
                <w:sz w:val="18"/>
                <w:szCs w:val="18"/>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b/>
                <w:bCs/>
                <w:color w:val="000000"/>
                <w:sz w:val="18"/>
                <w:szCs w:val="18"/>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b/>
                <w:bCs/>
                <w:color w:val="000000"/>
                <w:sz w:val="18"/>
                <w:szCs w:val="18"/>
              </w:rPr>
            </w:pPr>
          </w:p>
        </w:tc>
        <w:tc>
          <w:tcPr>
            <w:tcW w:w="1080" w:type="dxa"/>
            <w:tcBorders>
              <w:top w:val="nil"/>
              <w:left w:val="nil"/>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（亩）</w:t>
            </w:r>
          </w:p>
        </w:tc>
        <w:tc>
          <w:tcPr>
            <w:tcW w:w="1080" w:type="dxa"/>
            <w:tcBorders>
              <w:top w:val="nil"/>
              <w:left w:val="nil"/>
              <w:bottom w:val="single" w:color="000000" w:sz="8" w:space="0"/>
              <w:right w:val="single" w:color="000000" w:sz="8"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（元/亩）</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hint="default" w:ascii="Times New Roman" w:hAnsi="Times New Roman" w:cs="Times New Roman"/>
                <w:b/>
                <w:bCs/>
                <w:color w:val="000000"/>
                <w:sz w:val="18"/>
                <w:szCs w:val="18"/>
              </w:rPr>
            </w:pPr>
          </w:p>
        </w:tc>
        <w:tc>
          <w:tcPr>
            <w:tcW w:w="1080" w:type="dxa"/>
            <w:tcBorders>
              <w:top w:val="nil"/>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（万元）</w:t>
            </w:r>
          </w:p>
        </w:tc>
      </w:tr>
      <w:tr>
        <w:tblPrEx>
          <w:tblCellMar>
            <w:top w:w="0" w:type="dxa"/>
            <w:left w:w="0" w:type="dxa"/>
            <w:bottom w:w="0" w:type="dxa"/>
            <w:right w:w="0"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二区东</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机站西侧林地</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0.24</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七区东</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18号林</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108</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3.89</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八区东</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20、21号林</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78.9</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2.84</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九区东</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1号林</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44.56</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234</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七区、八区、九区</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圩堤</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248</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332</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8.23</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6</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五区南</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圩堤</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172.06</w:t>
            </w:r>
          </w:p>
        </w:tc>
        <w:tc>
          <w:tcPr>
            <w:tcW w:w="0" w:type="auto"/>
            <w:tcBorders>
              <w:top w:val="nil"/>
              <w:left w:val="nil"/>
              <w:bottom w:val="single" w:color="000000" w:sz="8" w:space="0"/>
              <w:right w:val="single" w:color="000000" w:sz="8"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360</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080" w:type="dxa"/>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Cs w:val="21"/>
              </w:rPr>
            </w:pPr>
            <w:r>
              <w:rPr>
                <w:rFonts w:hint="default" w:ascii="Times New Roman" w:hAnsi="Times New Roman" w:eastAsia="仿宋_GB2312" w:cs="Times New Roman"/>
                <w:i w:val="0"/>
                <w:iCs w:val="0"/>
                <w:color w:val="000000"/>
                <w:kern w:val="0"/>
                <w:sz w:val="21"/>
                <w:szCs w:val="21"/>
                <w:u w:val="none"/>
                <w:lang w:val="en-US" w:eastAsia="zh-CN" w:bidi="ar"/>
              </w:rPr>
              <w:t>1.79</w:t>
            </w: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合计</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　</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　</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659.52</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　</w:t>
            </w: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b/>
                <w:bCs/>
                <w:color w:val="000000"/>
                <w:szCs w:val="21"/>
              </w:rPr>
            </w:pPr>
          </w:p>
        </w:tc>
        <w:tc>
          <w:tcPr>
            <w:tcW w:w="0" w:type="auto"/>
            <w:tcBorders>
              <w:top w:val="nil"/>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Cs w:val="21"/>
                <w:lang w:val="en-US" w:eastAsia="zh-CN"/>
              </w:rPr>
              <w:t>18.03</w:t>
            </w:r>
          </w:p>
        </w:tc>
      </w:tr>
    </w:tbl>
    <w:p>
      <w:pPr>
        <w:adjustRightInd w:val="0"/>
        <w:snapToGrid w:val="0"/>
        <w:spacing w:line="480" w:lineRule="exact"/>
        <w:ind w:firstLine="562" w:firstLineChars="200"/>
        <w:rPr>
          <w:rFonts w:hint="default" w:ascii="Times New Roman" w:hAnsi="Times New Roman" w:eastAsia="仿宋_GB2312" w:cs="Times New Roman"/>
          <w:sz w:val="28"/>
        </w:rPr>
      </w:pPr>
      <w:r>
        <w:rPr>
          <w:rFonts w:hint="default" w:ascii="Times New Roman" w:hAnsi="Times New Roman" w:eastAsia="仿宋_GB2312" w:cs="Times New Roman"/>
          <w:b/>
          <w:bCs/>
          <w:kern w:val="0"/>
          <w:sz w:val="28"/>
          <w:szCs w:val="28"/>
        </w:rPr>
        <w:t xml:space="preserve"> 2、估价结果</w:t>
      </w:r>
    </w:p>
    <w:p>
      <w:pPr>
        <w:pStyle w:val="17"/>
        <w:snapToGrid w:val="0"/>
        <w:spacing w:before="0" w:line="480" w:lineRule="exact"/>
        <w:ind w:right="0" w:firstLine="560" w:firstLineChars="200"/>
        <w:jc w:val="left"/>
        <w:outlineLvl w:val="0"/>
        <w:rPr>
          <w:rFonts w:hint="default" w:ascii="Times New Roman" w:hAnsi="Times New Roman" w:cs="Times New Roman"/>
          <w:b/>
          <w:bCs/>
        </w:rPr>
      </w:pPr>
      <w:r>
        <w:rPr>
          <w:rFonts w:hint="default" w:ascii="Times New Roman" w:hAnsi="Times New Roman" w:cs="Times New Roman"/>
        </w:rPr>
        <w:t>江苏省沿海农业发展有限公司委托评估的估价对象，于估价期日二○二三年十二月三十一日，现状利用条件下，评估设定宗地红线内外通路、通电、通沟渠泵站灌排水，具备养殖用地相应的土地平均整开发水平,用途为国有划拨农用地（鱼塘、林地），于估价期日的宗地使用权2024年发包底价具体估价结果详见表《土地估价结果一览表》。</w:t>
      </w:r>
      <w:r>
        <w:rPr>
          <w:rFonts w:hint="default" w:ascii="Times New Roman" w:hAnsi="Times New Roman" w:cs="Times New Roman"/>
          <w:b/>
          <w:bCs/>
        </w:rPr>
        <w:br w:type="page"/>
      </w:r>
    </w:p>
    <w:p>
      <w:pPr>
        <w:pStyle w:val="17"/>
        <w:snapToGrid w:val="0"/>
        <w:spacing w:before="0" w:line="480" w:lineRule="exact"/>
        <w:ind w:right="0" w:firstLine="562" w:firstLineChars="200"/>
        <w:jc w:val="left"/>
        <w:outlineLvl w:val="0"/>
        <w:rPr>
          <w:rFonts w:hint="default" w:ascii="Times New Roman" w:hAnsi="Times New Roman" w:cs="Times New Roman"/>
          <w:b/>
          <w:bCs/>
        </w:rPr>
      </w:pPr>
    </w:p>
    <w:p>
      <w:pPr>
        <w:pStyle w:val="17"/>
        <w:snapToGrid w:val="0"/>
        <w:spacing w:before="0" w:line="480" w:lineRule="exact"/>
        <w:ind w:right="0" w:firstLine="643" w:firstLineChars="200"/>
        <w:jc w:val="center"/>
        <w:outlineLvl w:val="0"/>
        <w:rPr>
          <w:rFonts w:hint="default" w:ascii="Times New Roman" w:hAnsi="Times New Roman" w:cs="Times New Roman"/>
          <w:b/>
          <w:bCs/>
          <w:sz w:val="32"/>
          <w:szCs w:val="32"/>
        </w:rPr>
      </w:pPr>
      <w:r>
        <w:rPr>
          <w:rFonts w:hint="default" w:ascii="Times New Roman" w:hAnsi="Times New Roman" w:cs="Times New Roman"/>
          <w:b/>
          <w:bCs/>
          <w:sz w:val="32"/>
          <w:szCs w:val="32"/>
        </w:rPr>
        <w:t>第四部分  附   件</w:t>
      </w:r>
    </w:p>
    <w:p>
      <w:pPr>
        <w:pStyle w:val="17"/>
        <w:spacing w:line="700" w:lineRule="exact"/>
        <w:ind w:left="2" w:right="69" w:firstLine="560"/>
        <w:rPr>
          <w:rFonts w:hint="default" w:ascii="Times New Roman" w:hAnsi="Times New Roman" w:cs="Times New Roman"/>
          <w:kern w:val="2"/>
          <w:szCs w:val="32"/>
        </w:rPr>
      </w:pPr>
      <w:r>
        <w:rPr>
          <w:rFonts w:hint="default" w:ascii="Times New Roman" w:hAnsi="Times New Roman" w:cs="Times New Roman"/>
          <w:szCs w:val="32"/>
        </w:rPr>
        <w:t>一、委托协议（含</w:t>
      </w:r>
      <w:r>
        <w:rPr>
          <w:rFonts w:hint="default" w:ascii="Times New Roman" w:hAnsi="Times New Roman" w:cs="Times New Roman"/>
          <w:kern w:val="18"/>
          <w:szCs w:val="21"/>
        </w:rPr>
        <w:t>“</w:t>
      </w:r>
      <w:r>
        <w:rPr>
          <w:rFonts w:hint="eastAsia" w:cs="Times New Roman"/>
          <w:kern w:val="18"/>
          <w:szCs w:val="21"/>
          <w:lang w:eastAsia="zh-CN"/>
        </w:rPr>
        <w:t>2024年金东台分公司承包统计表</w:t>
      </w:r>
      <w:r>
        <w:rPr>
          <w:rFonts w:hint="default" w:ascii="Times New Roman" w:hAnsi="Times New Roman" w:cs="Times New Roman"/>
          <w:kern w:val="18"/>
          <w:szCs w:val="21"/>
        </w:rPr>
        <w:t>”</w:t>
      </w:r>
      <w:r>
        <w:rPr>
          <w:rFonts w:hint="default" w:ascii="Times New Roman" w:hAnsi="Times New Roman" w:cs="Times New Roman"/>
          <w:szCs w:val="32"/>
        </w:rPr>
        <w:t>、位置示意图）复印件；</w:t>
      </w:r>
    </w:p>
    <w:p>
      <w:pPr>
        <w:pStyle w:val="17"/>
        <w:spacing w:line="700" w:lineRule="exact"/>
        <w:ind w:left="2" w:right="69" w:firstLine="560"/>
        <w:rPr>
          <w:rFonts w:hint="default" w:ascii="Times New Roman" w:hAnsi="Times New Roman" w:cs="Times New Roman"/>
          <w:szCs w:val="24"/>
        </w:rPr>
      </w:pPr>
      <w:r>
        <w:rPr>
          <w:rFonts w:hint="default" w:ascii="Times New Roman" w:hAnsi="Times New Roman" w:cs="Times New Roman"/>
          <w:szCs w:val="32"/>
        </w:rPr>
        <w:t>二、委托方营业执照复</w:t>
      </w:r>
      <w:r>
        <w:rPr>
          <w:rFonts w:hint="default" w:ascii="Times New Roman" w:hAnsi="Times New Roman" w:eastAsia="仿宋" w:cs="Times New Roman"/>
        </w:rPr>
        <w:t>印</w:t>
      </w:r>
      <w:r>
        <w:rPr>
          <w:rFonts w:hint="default" w:ascii="Times New Roman" w:hAnsi="Times New Roman" w:cs="Times New Roman"/>
          <w:szCs w:val="32"/>
        </w:rPr>
        <w:t>件；</w:t>
      </w:r>
    </w:p>
    <w:p>
      <w:pPr>
        <w:pStyle w:val="17"/>
        <w:spacing w:line="700" w:lineRule="exact"/>
        <w:ind w:left="2" w:right="69" w:firstLine="560"/>
        <w:rPr>
          <w:rFonts w:hint="default" w:ascii="Times New Roman" w:hAnsi="Times New Roman" w:cs="Times New Roman"/>
          <w:szCs w:val="32"/>
        </w:rPr>
      </w:pPr>
      <w:r>
        <w:rPr>
          <w:rFonts w:hint="default" w:ascii="Times New Roman" w:hAnsi="Times New Roman" w:cs="Times New Roman"/>
          <w:szCs w:val="32"/>
        </w:rPr>
        <w:t>三、委托方承诺函复</w:t>
      </w:r>
      <w:r>
        <w:rPr>
          <w:rFonts w:hint="default" w:ascii="Times New Roman" w:hAnsi="Times New Roman" w:eastAsia="仿宋" w:cs="Times New Roman"/>
        </w:rPr>
        <w:t>印</w:t>
      </w:r>
      <w:r>
        <w:rPr>
          <w:rFonts w:hint="default" w:ascii="Times New Roman" w:hAnsi="Times New Roman" w:cs="Times New Roman"/>
          <w:szCs w:val="32"/>
        </w:rPr>
        <w:t>件；</w:t>
      </w:r>
    </w:p>
    <w:p>
      <w:pPr>
        <w:pStyle w:val="17"/>
        <w:spacing w:line="700" w:lineRule="exact"/>
        <w:ind w:left="2" w:right="69" w:firstLine="560"/>
        <w:rPr>
          <w:rFonts w:hint="default" w:ascii="Times New Roman" w:hAnsi="Times New Roman" w:eastAsia="仿宋" w:cs="Times New Roman"/>
          <w:szCs w:val="32"/>
        </w:rPr>
      </w:pPr>
      <w:r>
        <w:rPr>
          <w:rFonts w:hint="default" w:ascii="Times New Roman" w:hAnsi="Times New Roman" w:cs="Times New Roman"/>
        </w:rPr>
        <w:t>四、</w:t>
      </w:r>
      <w:bookmarkStart w:id="33" w:name="_Hlk59470212"/>
      <w:r>
        <w:rPr>
          <w:rFonts w:hint="default" w:ascii="Times New Roman" w:hAnsi="Times New Roman" w:cs="Times New Roman"/>
        </w:rPr>
        <w:t>《国有土地使用证</w:t>
      </w:r>
      <w:r>
        <w:rPr>
          <w:rFonts w:hint="default" w:ascii="Times New Roman" w:hAnsi="Times New Roman" w:eastAsia="仿宋" w:cs="Times New Roman"/>
        </w:rPr>
        <w:t>》</w:t>
      </w:r>
      <w:bookmarkEnd w:id="33"/>
      <w:bookmarkStart w:id="34" w:name="_GoBack"/>
      <w:bookmarkEnd w:id="34"/>
      <w:r>
        <w:rPr>
          <w:rFonts w:hint="default" w:ascii="Times New Roman" w:hAnsi="Times New Roman" w:eastAsia="仿宋" w:cs="Times New Roman"/>
        </w:rPr>
        <w:t>复印件；</w:t>
      </w:r>
    </w:p>
    <w:p>
      <w:pPr>
        <w:pStyle w:val="17"/>
        <w:spacing w:line="700" w:lineRule="exact"/>
        <w:ind w:left="2" w:right="69" w:firstLine="560"/>
        <w:rPr>
          <w:rFonts w:hint="default" w:ascii="Times New Roman" w:hAnsi="Times New Roman" w:cs="Times New Roman"/>
          <w:szCs w:val="24"/>
        </w:rPr>
      </w:pPr>
      <w:r>
        <w:rPr>
          <w:rFonts w:hint="default" w:ascii="Times New Roman" w:hAnsi="Times New Roman" w:cs="Times New Roman"/>
          <w:szCs w:val="32"/>
        </w:rPr>
        <w:t>五、</w:t>
      </w:r>
      <w:r>
        <w:rPr>
          <w:rFonts w:hint="default" w:ascii="Times New Roman" w:hAnsi="Times New Roman" w:cs="Times New Roman"/>
        </w:rPr>
        <w:t>估价对象位置图与现状照片；</w:t>
      </w:r>
    </w:p>
    <w:p>
      <w:pPr>
        <w:pStyle w:val="17"/>
        <w:spacing w:line="700" w:lineRule="exact"/>
        <w:ind w:left="2" w:right="69" w:firstLine="560"/>
        <w:rPr>
          <w:rFonts w:hint="default" w:ascii="Times New Roman" w:hAnsi="Times New Roman" w:cs="Times New Roman"/>
        </w:rPr>
      </w:pPr>
      <w:r>
        <w:rPr>
          <w:rFonts w:hint="default" w:ascii="Times New Roman" w:hAnsi="Times New Roman" w:cs="Times New Roman"/>
        </w:rPr>
        <w:t>六、估价机构营业执照和资质证书复印件；</w:t>
      </w:r>
    </w:p>
    <w:p>
      <w:pPr>
        <w:pStyle w:val="17"/>
        <w:spacing w:line="700" w:lineRule="exact"/>
        <w:ind w:left="2" w:right="69" w:firstLine="560"/>
        <w:rPr>
          <w:rFonts w:hint="default" w:ascii="Times New Roman" w:hAnsi="Times New Roman" w:cs="Times New Roman"/>
        </w:rPr>
      </w:pPr>
      <w:r>
        <w:rPr>
          <w:rFonts w:hint="default" w:ascii="Times New Roman" w:hAnsi="Times New Roman" w:cs="Times New Roman"/>
          <w:szCs w:val="32"/>
        </w:rPr>
        <w:t>七、</w:t>
      </w:r>
      <w:r>
        <w:rPr>
          <w:rFonts w:hint="default" w:ascii="Times New Roman" w:hAnsi="Times New Roman" w:cs="Times New Roman"/>
        </w:rPr>
        <w:t>土地估价师证书复印件。</w:t>
      </w:r>
    </w:p>
    <w:sectPr>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昆仑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Franklin Gothic Medium">
    <w:panose1 w:val="020B06030201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6" w:space="1"/>
      </w:pBdr>
      <w:jc w:val="both"/>
      <w:rPr>
        <w:rFonts w:eastAsia="仿宋_GB2312"/>
        <w:spacing w:val="-20"/>
        <w:kern w:val="0"/>
        <w:sz w:val="21"/>
        <w:szCs w:val="21"/>
      </w:rPr>
    </w:pPr>
    <w:r>
      <w:rPr>
        <w:rFonts w:hint="eastAsia" w:eastAsia="仿宋_GB2312"/>
        <w:spacing w:val="-20"/>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t xml:space="preserve"> </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6" w:space="1"/>
      </w:pBdr>
      <w:jc w:val="both"/>
      <w:rPr>
        <w:rFonts w:eastAsia="仿宋_GB2312"/>
        <w:spacing w:val="-20"/>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right;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TgvY4LAgAAAQQAAA4AAABkcnMvZTJvRG9jLnhtbK1TS27bMBDdF+gd&#10;CO5r2Ynd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DnnFlhqOGH798OP34d&#10;fn5l02hP63xOWXeO8kL3BjoamiTVu1uQnz2zcFMLu1HXiNDWSpREbxJfZo+e9jg+gqzb91BSHbEN&#10;kIC6Ck30jtxghE6t2Z9ao7rAJB3OLi4uZ5xJupmcT6bT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pOC9jgsCAAABBAAADgAAAAAAAAABACAAAAAfAQAA&#10;ZHJzL2Uyb0RvYy54bWxQSwUGAAAAAAYABgBZAQAAn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v:textbox>
            </v:shape>
          </w:pict>
        </mc:Fallback>
      </mc:AlternateContent>
    </w:r>
    <w:r>
      <w:rPr>
        <w:rFonts w:hint="eastAsia" w:eastAsia="仿宋_GB2312"/>
        <w:spacing w:val="-20"/>
        <w:kern w:val="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Franklin Gothic Medium" w:hAnsi="Franklin Gothic Medium" w:eastAsia="MS Gothic"/>
        <w:b/>
        <w:sz w:val="36"/>
      </w:rPr>
      <w:drawing>
        <wp:inline distT="0" distB="0" distL="0" distR="0">
          <wp:extent cx="609600" cy="361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9600" cy="361950"/>
                  </a:xfrm>
                  <a:prstGeom prst="rect">
                    <a:avLst/>
                  </a:prstGeom>
                  <a:noFill/>
                  <a:ln>
                    <a:noFill/>
                  </a:ln>
                </pic:spPr>
              </pic:pic>
            </a:graphicData>
          </a:graphic>
        </wp:inline>
      </w:drawing>
    </w:r>
    <w:r>
      <w:rPr>
        <w:rFonts w:hint="eastAsia" w:ascii="Franklin Gothic Medium" w:hAnsi="Franklin Gothic Medium"/>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737D7"/>
    <w:multiLevelType w:val="singleLevel"/>
    <w:tmpl w:val="973737D7"/>
    <w:lvl w:ilvl="0" w:tentative="0">
      <w:start w:val="1"/>
      <w:numFmt w:val="decimal"/>
      <w:suff w:val="nothing"/>
      <w:lvlText w:val="（%1）"/>
      <w:lvlJc w:val="left"/>
    </w:lvl>
  </w:abstractNum>
  <w:abstractNum w:abstractNumId="1">
    <w:nsid w:val="C4F956D6"/>
    <w:multiLevelType w:val="singleLevel"/>
    <w:tmpl w:val="C4F956D6"/>
    <w:lvl w:ilvl="0" w:tentative="0">
      <w:start w:val="1"/>
      <w:numFmt w:val="chineseCounting"/>
      <w:suff w:val="space"/>
      <w:lvlText w:val="第%1部分"/>
      <w:lvlJc w:val="left"/>
      <w:rPr>
        <w:rFonts w:hint="eastAsia"/>
      </w:rPr>
    </w:lvl>
  </w:abstractNum>
  <w:abstractNum w:abstractNumId="2">
    <w:nsid w:val="F5F1B02C"/>
    <w:multiLevelType w:val="singleLevel"/>
    <w:tmpl w:val="F5F1B02C"/>
    <w:lvl w:ilvl="0" w:tentative="0">
      <w:start w:val="6"/>
      <w:numFmt w:val="upperLetter"/>
      <w:lvlText w:val="%1、 "/>
      <w:legacy w:legacy="1" w:legacySpace="0" w:legacyIndent="552"/>
      <w:lvlJc w:val="left"/>
      <w:pPr>
        <w:ind w:left="1272" w:hanging="552"/>
      </w:pPr>
      <w:rPr>
        <w:rFonts w:hint="eastAsia" w:ascii="仿宋_GB2312" w:hAnsi="仿宋_GB2312" w:eastAsia="仿宋_GB2312"/>
        <w:b w:val="0"/>
        <w:i w:val="0"/>
        <w:sz w:val="28"/>
        <w:u w:val="none"/>
      </w:rPr>
    </w:lvl>
  </w:abstractNum>
  <w:abstractNum w:abstractNumId="3">
    <w:nsid w:val="1ADC3854"/>
    <w:multiLevelType w:val="singleLevel"/>
    <w:tmpl w:val="1ADC3854"/>
    <w:lvl w:ilvl="0" w:tentative="0">
      <w:start w:val="6"/>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Njc2M2ZjOTAyOTFiZTNmYmU1OTJhN2FmMWM5MWMifQ=="/>
  </w:docVars>
  <w:rsids>
    <w:rsidRoot w:val="00172A27"/>
    <w:rsid w:val="0000099D"/>
    <w:rsid w:val="00001488"/>
    <w:rsid w:val="00003C9B"/>
    <w:rsid w:val="00004B55"/>
    <w:rsid w:val="00004B60"/>
    <w:rsid w:val="00004DC1"/>
    <w:rsid w:val="00011848"/>
    <w:rsid w:val="00017650"/>
    <w:rsid w:val="000219EB"/>
    <w:rsid w:val="000238EF"/>
    <w:rsid w:val="000250A3"/>
    <w:rsid w:val="000305CA"/>
    <w:rsid w:val="000315FC"/>
    <w:rsid w:val="00033B92"/>
    <w:rsid w:val="00037DC2"/>
    <w:rsid w:val="00037E2D"/>
    <w:rsid w:val="000421C7"/>
    <w:rsid w:val="000461A6"/>
    <w:rsid w:val="00057FF4"/>
    <w:rsid w:val="0006195C"/>
    <w:rsid w:val="00064261"/>
    <w:rsid w:val="00064B75"/>
    <w:rsid w:val="000679FD"/>
    <w:rsid w:val="00070EE8"/>
    <w:rsid w:val="000733EC"/>
    <w:rsid w:val="00074393"/>
    <w:rsid w:val="00074ED1"/>
    <w:rsid w:val="000750AC"/>
    <w:rsid w:val="00076ED5"/>
    <w:rsid w:val="000771FD"/>
    <w:rsid w:val="00084052"/>
    <w:rsid w:val="0008548D"/>
    <w:rsid w:val="000879B5"/>
    <w:rsid w:val="00091A65"/>
    <w:rsid w:val="000925A2"/>
    <w:rsid w:val="0009316C"/>
    <w:rsid w:val="000943A3"/>
    <w:rsid w:val="000A0C2E"/>
    <w:rsid w:val="000A1385"/>
    <w:rsid w:val="000A1C8E"/>
    <w:rsid w:val="000A4E37"/>
    <w:rsid w:val="000B0964"/>
    <w:rsid w:val="000B1884"/>
    <w:rsid w:val="000B3282"/>
    <w:rsid w:val="000B6123"/>
    <w:rsid w:val="000B7F1C"/>
    <w:rsid w:val="000C4E08"/>
    <w:rsid w:val="000D33D8"/>
    <w:rsid w:val="000D3F87"/>
    <w:rsid w:val="000D7102"/>
    <w:rsid w:val="000E0076"/>
    <w:rsid w:val="000E1179"/>
    <w:rsid w:val="000E1AB7"/>
    <w:rsid w:val="000E2DCE"/>
    <w:rsid w:val="000E42B5"/>
    <w:rsid w:val="000E4A86"/>
    <w:rsid w:val="000E683B"/>
    <w:rsid w:val="001017B8"/>
    <w:rsid w:val="00104CFC"/>
    <w:rsid w:val="001053CE"/>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47377"/>
    <w:rsid w:val="0015169E"/>
    <w:rsid w:val="0015202D"/>
    <w:rsid w:val="00153699"/>
    <w:rsid w:val="00160716"/>
    <w:rsid w:val="00161B0C"/>
    <w:rsid w:val="00164544"/>
    <w:rsid w:val="0017055E"/>
    <w:rsid w:val="00170D8D"/>
    <w:rsid w:val="00170F49"/>
    <w:rsid w:val="00172A27"/>
    <w:rsid w:val="00173F45"/>
    <w:rsid w:val="001767E6"/>
    <w:rsid w:val="00176D98"/>
    <w:rsid w:val="00185843"/>
    <w:rsid w:val="00186085"/>
    <w:rsid w:val="001860D0"/>
    <w:rsid w:val="00187A8A"/>
    <w:rsid w:val="001901A6"/>
    <w:rsid w:val="001A1D43"/>
    <w:rsid w:val="001A260B"/>
    <w:rsid w:val="001A298D"/>
    <w:rsid w:val="001A7716"/>
    <w:rsid w:val="001B1BA4"/>
    <w:rsid w:val="001B1F66"/>
    <w:rsid w:val="001B2046"/>
    <w:rsid w:val="001B3706"/>
    <w:rsid w:val="001B60C4"/>
    <w:rsid w:val="001B6C0A"/>
    <w:rsid w:val="001C58A4"/>
    <w:rsid w:val="001C6515"/>
    <w:rsid w:val="001C7FC3"/>
    <w:rsid w:val="001D0A81"/>
    <w:rsid w:val="001D3606"/>
    <w:rsid w:val="001D553D"/>
    <w:rsid w:val="001D6EFB"/>
    <w:rsid w:val="001E023B"/>
    <w:rsid w:val="001E3993"/>
    <w:rsid w:val="001E3B48"/>
    <w:rsid w:val="001E51A1"/>
    <w:rsid w:val="001E5384"/>
    <w:rsid w:val="001E5E18"/>
    <w:rsid w:val="001F1DE5"/>
    <w:rsid w:val="001F5E99"/>
    <w:rsid w:val="00201BD4"/>
    <w:rsid w:val="00203411"/>
    <w:rsid w:val="002045E8"/>
    <w:rsid w:val="00204D5F"/>
    <w:rsid w:val="00204E68"/>
    <w:rsid w:val="00207E6C"/>
    <w:rsid w:val="00210A1B"/>
    <w:rsid w:val="0021104B"/>
    <w:rsid w:val="0021330C"/>
    <w:rsid w:val="002140F1"/>
    <w:rsid w:val="00217424"/>
    <w:rsid w:val="002177A1"/>
    <w:rsid w:val="00220143"/>
    <w:rsid w:val="002203FE"/>
    <w:rsid w:val="00222A71"/>
    <w:rsid w:val="00231FFD"/>
    <w:rsid w:val="002358B7"/>
    <w:rsid w:val="00240471"/>
    <w:rsid w:val="0024237F"/>
    <w:rsid w:val="00243BDA"/>
    <w:rsid w:val="00247FAF"/>
    <w:rsid w:val="00251B6D"/>
    <w:rsid w:val="002609EA"/>
    <w:rsid w:val="00263F2A"/>
    <w:rsid w:val="00264451"/>
    <w:rsid w:val="00265128"/>
    <w:rsid w:val="00267805"/>
    <w:rsid w:val="00270394"/>
    <w:rsid w:val="0027120D"/>
    <w:rsid w:val="00271817"/>
    <w:rsid w:val="00274913"/>
    <w:rsid w:val="00275910"/>
    <w:rsid w:val="0027674A"/>
    <w:rsid w:val="0028282C"/>
    <w:rsid w:val="002830CE"/>
    <w:rsid w:val="0028361B"/>
    <w:rsid w:val="00285741"/>
    <w:rsid w:val="00287A43"/>
    <w:rsid w:val="002907C3"/>
    <w:rsid w:val="00291E1B"/>
    <w:rsid w:val="00292CDA"/>
    <w:rsid w:val="00294DF7"/>
    <w:rsid w:val="0029510C"/>
    <w:rsid w:val="00295F49"/>
    <w:rsid w:val="002978B2"/>
    <w:rsid w:val="002A080C"/>
    <w:rsid w:val="002A0D52"/>
    <w:rsid w:val="002A156F"/>
    <w:rsid w:val="002A439A"/>
    <w:rsid w:val="002B38FB"/>
    <w:rsid w:val="002B61F5"/>
    <w:rsid w:val="002B6992"/>
    <w:rsid w:val="002B7B96"/>
    <w:rsid w:val="002C3225"/>
    <w:rsid w:val="002C77FA"/>
    <w:rsid w:val="002D60D4"/>
    <w:rsid w:val="002E1327"/>
    <w:rsid w:val="002E2E63"/>
    <w:rsid w:val="002E68D4"/>
    <w:rsid w:val="002F0859"/>
    <w:rsid w:val="002F0D94"/>
    <w:rsid w:val="002F2886"/>
    <w:rsid w:val="002F2E29"/>
    <w:rsid w:val="002F4C40"/>
    <w:rsid w:val="002F4DC2"/>
    <w:rsid w:val="002F4EDC"/>
    <w:rsid w:val="00301478"/>
    <w:rsid w:val="00303C84"/>
    <w:rsid w:val="00305A02"/>
    <w:rsid w:val="00305E33"/>
    <w:rsid w:val="00313F79"/>
    <w:rsid w:val="00317C3C"/>
    <w:rsid w:val="00323462"/>
    <w:rsid w:val="0032533A"/>
    <w:rsid w:val="0032578D"/>
    <w:rsid w:val="00326520"/>
    <w:rsid w:val="0033271B"/>
    <w:rsid w:val="00333F77"/>
    <w:rsid w:val="00336D8C"/>
    <w:rsid w:val="00343066"/>
    <w:rsid w:val="003613CF"/>
    <w:rsid w:val="00361B45"/>
    <w:rsid w:val="00363A4C"/>
    <w:rsid w:val="003736D3"/>
    <w:rsid w:val="00373D9B"/>
    <w:rsid w:val="0037508D"/>
    <w:rsid w:val="00376DDC"/>
    <w:rsid w:val="00383257"/>
    <w:rsid w:val="0039025F"/>
    <w:rsid w:val="00391F38"/>
    <w:rsid w:val="00392874"/>
    <w:rsid w:val="0039465C"/>
    <w:rsid w:val="003A3409"/>
    <w:rsid w:val="003A681C"/>
    <w:rsid w:val="003A7CC0"/>
    <w:rsid w:val="003B2C89"/>
    <w:rsid w:val="003B4A16"/>
    <w:rsid w:val="003C0639"/>
    <w:rsid w:val="003C3098"/>
    <w:rsid w:val="003C434D"/>
    <w:rsid w:val="003C643E"/>
    <w:rsid w:val="003D2484"/>
    <w:rsid w:val="003D2B9B"/>
    <w:rsid w:val="003D5197"/>
    <w:rsid w:val="003F37FE"/>
    <w:rsid w:val="003F4461"/>
    <w:rsid w:val="003F618B"/>
    <w:rsid w:val="0040077A"/>
    <w:rsid w:val="0040223C"/>
    <w:rsid w:val="004033AB"/>
    <w:rsid w:val="00405D9A"/>
    <w:rsid w:val="00407E84"/>
    <w:rsid w:val="00407FF1"/>
    <w:rsid w:val="004115D0"/>
    <w:rsid w:val="00424189"/>
    <w:rsid w:val="0042726B"/>
    <w:rsid w:val="00431555"/>
    <w:rsid w:val="004315D9"/>
    <w:rsid w:val="00431EF4"/>
    <w:rsid w:val="00434E90"/>
    <w:rsid w:val="00442C15"/>
    <w:rsid w:val="00443848"/>
    <w:rsid w:val="0044498C"/>
    <w:rsid w:val="004458D0"/>
    <w:rsid w:val="00446B88"/>
    <w:rsid w:val="00447BEA"/>
    <w:rsid w:val="0045031C"/>
    <w:rsid w:val="004506B3"/>
    <w:rsid w:val="004578F7"/>
    <w:rsid w:val="00472252"/>
    <w:rsid w:val="00484199"/>
    <w:rsid w:val="0048574D"/>
    <w:rsid w:val="00485ADB"/>
    <w:rsid w:val="004906F0"/>
    <w:rsid w:val="00492B00"/>
    <w:rsid w:val="00494F5D"/>
    <w:rsid w:val="00497818"/>
    <w:rsid w:val="00497B59"/>
    <w:rsid w:val="004A3322"/>
    <w:rsid w:val="004A3E27"/>
    <w:rsid w:val="004B3ABC"/>
    <w:rsid w:val="004C57D1"/>
    <w:rsid w:val="004D1EF2"/>
    <w:rsid w:val="004D2A0E"/>
    <w:rsid w:val="004D6829"/>
    <w:rsid w:val="004D746E"/>
    <w:rsid w:val="004E4BF7"/>
    <w:rsid w:val="004E63C8"/>
    <w:rsid w:val="004E6E70"/>
    <w:rsid w:val="0050586C"/>
    <w:rsid w:val="00505C85"/>
    <w:rsid w:val="005064F9"/>
    <w:rsid w:val="005144A3"/>
    <w:rsid w:val="00525690"/>
    <w:rsid w:val="00525D81"/>
    <w:rsid w:val="00526BD0"/>
    <w:rsid w:val="00527A52"/>
    <w:rsid w:val="005300EC"/>
    <w:rsid w:val="00537DCE"/>
    <w:rsid w:val="0054011C"/>
    <w:rsid w:val="005545AD"/>
    <w:rsid w:val="00557838"/>
    <w:rsid w:val="0056292A"/>
    <w:rsid w:val="005668F4"/>
    <w:rsid w:val="00574076"/>
    <w:rsid w:val="0058117A"/>
    <w:rsid w:val="005815EE"/>
    <w:rsid w:val="00582181"/>
    <w:rsid w:val="00583382"/>
    <w:rsid w:val="00590FC9"/>
    <w:rsid w:val="00594691"/>
    <w:rsid w:val="005A57E6"/>
    <w:rsid w:val="005A74F9"/>
    <w:rsid w:val="005B0E3C"/>
    <w:rsid w:val="005B0F0D"/>
    <w:rsid w:val="005B2A6B"/>
    <w:rsid w:val="005B371F"/>
    <w:rsid w:val="005B522D"/>
    <w:rsid w:val="005B559C"/>
    <w:rsid w:val="005C1CDF"/>
    <w:rsid w:val="005C4BF5"/>
    <w:rsid w:val="005C4CA7"/>
    <w:rsid w:val="005C4D9A"/>
    <w:rsid w:val="005D1898"/>
    <w:rsid w:val="005D36CF"/>
    <w:rsid w:val="005D41ED"/>
    <w:rsid w:val="005D4549"/>
    <w:rsid w:val="005D580E"/>
    <w:rsid w:val="005E6519"/>
    <w:rsid w:val="005E7FCF"/>
    <w:rsid w:val="005F12E1"/>
    <w:rsid w:val="005F3533"/>
    <w:rsid w:val="005F5914"/>
    <w:rsid w:val="00600506"/>
    <w:rsid w:val="00604359"/>
    <w:rsid w:val="00604577"/>
    <w:rsid w:val="00611975"/>
    <w:rsid w:val="006169C2"/>
    <w:rsid w:val="00616A6B"/>
    <w:rsid w:val="00617829"/>
    <w:rsid w:val="00623652"/>
    <w:rsid w:val="00624D25"/>
    <w:rsid w:val="006265A1"/>
    <w:rsid w:val="00630BF0"/>
    <w:rsid w:val="006317CA"/>
    <w:rsid w:val="00632782"/>
    <w:rsid w:val="00632D2F"/>
    <w:rsid w:val="006330BF"/>
    <w:rsid w:val="0063393C"/>
    <w:rsid w:val="00633B70"/>
    <w:rsid w:val="00634D68"/>
    <w:rsid w:val="00640374"/>
    <w:rsid w:val="00640552"/>
    <w:rsid w:val="006406EC"/>
    <w:rsid w:val="006408FD"/>
    <w:rsid w:val="00641F43"/>
    <w:rsid w:val="006447B6"/>
    <w:rsid w:val="00650816"/>
    <w:rsid w:val="006515CA"/>
    <w:rsid w:val="00652072"/>
    <w:rsid w:val="00654A42"/>
    <w:rsid w:val="00655C8B"/>
    <w:rsid w:val="00656AAA"/>
    <w:rsid w:val="00657967"/>
    <w:rsid w:val="00660EFC"/>
    <w:rsid w:val="0066143F"/>
    <w:rsid w:val="00667472"/>
    <w:rsid w:val="006737FC"/>
    <w:rsid w:val="00676F65"/>
    <w:rsid w:val="0067762C"/>
    <w:rsid w:val="00677FEB"/>
    <w:rsid w:val="00680130"/>
    <w:rsid w:val="00680318"/>
    <w:rsid w:val="0068181B"/>
    <w:rsid w:val="00681AEC"/>
    <w:rsid w:val="00684DCE"/>
    <w:rsid w:val="0068604B"/>
    <w:rsid w:val="00694418"/>
    <w:rsid w:val="006A0747"/>
    <w:rsid w:val="006A0B1A"/>
    <w:rsid w:val="006A11B3"/>
    <w:rsid w:val="006A18E2"/>
    <w:rsid w:val="006A1B81"/>
    <w:rsid w:val="006A4C2A"/>
    <w:rsid w:val="006B2295"/>
    <w:rsid w:val="006B3244"/>
    <w:rsid w:val="006B3519"/>
    <w:rsid w:val="006B4821"/>
    <w:rsid w:val="006B4B13"/>
    <w:rsid w:val="006B5AE1"/>
    <w:rsid w:val="006B5D10"/>
    <w:rsid w:val="006C4C2A"/>
    <w:rsid w:val="006C6CF5"/>
    <w:rsid w:val="006D79A7"/>
    <w:rsid w:val="006E3B4A"/>
    <w:rsid w:val="006E739A"/>
    <w:rsid w:val="006F0BB7"/>
    <w:rsid w:val="006F3859"/>
    <w:rsid w:val="006F517E"/>
    <w:rsid w:val="006F6BCD"/>
    <w:rsid w:val="007024CD"/>
    <w:rsid w:val="00702F18"/>
    <w:rsid w:val="007038DA"/>
    <w:rsid w:val="00706617"/>
    <w:rsid w:val="00713650"/>
    <w:rsid w:val="007222E9"/>
    <w:rsid w:val="0072470C"/>
    <w:rsid w:val="007269FB"/>
    <w:rsid w:val="00727025"/>
    <w:rsid w:val="00731155"/>
    <w:rsid w:val="00736C58"/>
    <w:rsid w:val="0073752E"/>
    <w:rsid w:val="007377C9"/>
    <w:rsid w:val="00742E2E"/>
    <w:rsid w:val="00744A84"/>
    <w:rsid w:val="0074710C"/>
    <w:rsid w:val="0075121C"/>
    <w:rsid w:val="00751766"/>
    <w:rsid w:val="007528D0"/>
    <w:rsid w:val="00755FA1"/>
    <w:rsid w:val="00756E75"/>
    <w:rsid w:val="0075769A"/>
    <w:rsid w:val="0076085B"/>
    <w:rsid w:val="00763044"/>
    <w:rsid w:val="007640C0"/>
    <w:rsid w:val="00766E90"/>
    <w:rsid w:val="007670F0"/>
    <w:rsid w:val="00775374"/>
    <w:rsid w:val="00781521"/>
    <w:rsid w:val="0078186C"/>
    <w:rsid w:val="00782230"/>
    <w:rsid w:val="007836D4"/>
    <w:rsid w:val="007911C9"/>
    <w:rsid w:val="007912D4"/>
    <w:rsid w:val="00795C27"/>
    <w:rsid w:val="007974C2"/>
    <w:rsid w:val="007A6FAD"/>
    <w:rsid w:val="007B13B0"/>
    <w:rsid w:val="007C73EB"/>
    <w:rsid w:val="007D549B"/>
    <w:rsid w:val="007D6506"/>
    <w:rsid w:val="007D67B4"/>
    <w:rsid w:val="007E0D56"/>
    <w:rsid w:val="007E0E05"/>
    <w:rsid w:val="007E57B5"/>
    <w:rsid w:val="007E7880"/>
    <w:rsid w:val="007F0101"/>
    <w:rsid w:val="007F1C7A"/>
    <w:rsid w:val="007F3DC6"/>
    <w:rsid w:val="007F710F"/>
    <w:rsid w:val="007F71D7"/>
    <w:rsid w:val="007F7574"/>
    <w:rsid w:val="007F75C2"/>
    <w:rsid w:val="0080072A"/>
    <w:rsid w:val="008021C3"/>
    <w:rsid w:val="0080437B"/>
    <w:rsid w:val="00805645"/>
    <w:rsid w:val="00805974"/>
    <w:rsid w:val="00806A13"/>
    <w:rsid w:val="0081109F"/>
    <w:rsid w:val="00813865"/>
    <w:rsid w:val="00814B5E"/>
    <w:rsid w:val="00816BF3"/>
    <w:rsid w:val="00822524"/>
    <w:rsid w:val="00822721"/>
    <w:rsid w:val="00824032"/>
    <w:rsid w:val="00826595"/>
    <w:rsid w:val="00830162"/>
    <w:rsid w:val="00830366"/>
    <w:rsid w:val="00830BF4"/>
    <w:rsid w:val="00831445"/>
    <w:rsid w:val="008314F2"/>
    <w:rsid w:val="0083390D"/>
    <w:rsid w:val="00841941"/>
    <w:rsid w:val="00846E63"/>
    <w:rsid w:val="00847098"/>
    <w:rsid w:val="0085021E"/>
    <w:rsid w:val="008505C4"/>
    <w:rsid w:val="00854490"/>
    <w:rsid w:val="00855F3C"/>
    <w:rsid w:val="00856D23"/>
    <w:rsid w:val="00860906"/>
    <w:rsid w:val="008628D5"/>
    <w:rsid w:val="00867738"/>
    <w:rsid w:val="00871D65"/>
    <w:rsid w:val="008726DD"/>
    <w:rsid w:val="008747EB"/>
    <w:rsid w:val="00874D29"/>
    <w:rsid w:val="00877309"/>
    <w:rsid w:val="008847C3"/>
    <w:rsid w:val="00884A6C"/>
    <w:rsid w:val="008867DC"/>
    <w:rsid w:val="00890045"/>
    <w:rsid w:val="00891B98"/>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F731E"/>
    <w:rsid w:val="00901FE5"/>
    <w:rsid w:val="00902985"/>
    <w:rsid w:val="009050EE"/>
    <w:rsid w:val="009051C8"/>
    <w:rsid w:val="00905FB2"/>
    <w:rsid w:val="00907887"/>
    <w:rsid w:val="0091004F"/>
    <w:rsid w:val="009126D6"/>
    <w:rsid w:val="0091478C"/>
    <w:rsid w:val="009148BF"/>
    <w:rsid w:val="00924436"/>
    <w:rsid w:val="009313CA"/>
    <w:rsid w:val="0093180D"/>
    <w:rsid w:val="00931C1D"/>
    <w:rsid w:val="009324BA"/>
    <w:rsid w:val="00935615"/>
    <w:rsid w:val="00937E42"/>
    <w:rsid w:val="0094036F"/>
    <w:rsid w:val="00940E80"/>
    <w:rsid w:val="00947771"/>
    <w:rsid w:val="00947DD0"/>
    <w:rsid w:val="00950818"/>
    <w:rsid w:val="00951C71"/>
    <w:rsid w:val="009521E5"/>
    <w:rsid w:val="00956CB1"/>
    <w:rsid w:val="00956F13"/>
    <w:rsid w:val="00966C2C"/>
    <w:rsid w:val="009678B3"/>
    <w:rsid w:val="00971D96"/>
    <w:rsid w:val="009732A4"/>
    <w:rsid w:val="009734EC"/>
    <w:rsid w:val="00973823"/>
    <w:rsid w:val="009804A2"/>
    <w:rsid w:val="009804AB"/>
    <w:rsid w:val="00983F35"/>
    <w:rsid w:val="00984D7C"/>
    <w:rsid w:val="0098562E"/>
    <w:rsid w:val="0098583A"/>
    <w:rsid w:val="00993584"/>
    <w:rsid w:val="009A07A2"/>
    <w:rsid w:val="009A0A09"/>
    <w:rsid w:val="009A7F5F"/>
    <w:rsid w:val="009B4213"/>
    <w:rsid w:val="009B5C4E"/>
    <w:rsid w:val="009C0E72"/>
    <w:rsid w:val="009C19E7"/>
    <w:rsid w:val="009C4AC5"/>
    <w:rsid w:val="009C604D"/>
    <w:rsid w:val="009C6A76"/>
    <w:rsid w:val="009D56DF"/>
    <w:rsid w:val="009D5790"/>
    <w:rsid w:val="009D6D92"/>
    <w:rsid w:val="009E0694"/>
    <w:rsid w:val="009E0E23"/>
    <w:rsid w:val="009E14DC"/>
    <w:rsid w:val="009E4E9C"/>
    <w:rsid w:val="009E5BE9"/>
    <w:rsid w:val="009E6518"/>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5F99"/>
    <w:rsid w:val="00A272A3"/>
    <w:rsid w:val="00A27FB3"/>
    <w:rsid w:val="00A31069"/>
    <w:rsid w:val="00A328BA"/>
    <w:rsid w:val="00A333E9"/>
    <w:rsid w:val="00A33884"/>
    <w:rsid w:val="00A34F4A"/>
    <w:rsid w:val="00A36E88"/>
    <w:rsid w:val="00A4585E"/>
    <w:rsid w:val="00A466B0"/>
    <w:rsid w:val="00A46E85"/>
    <w:rsid w:val="00A600FF"/>
    <w:rsid w:val="00A628A9"/>
    <w:rsid w:val="00A65ACE"/>
    <w:rsid w:val="00A6655F"/>
    <w:rsid w:val="00A775EF"/>
    <w:rsid w:val="00A846FA"/>
    <w:rsid w:val="00A86B27"/>
    <w:rsid w:val="00A94CA7"/>
    <w:rsid w:val="00A94ECC"/>
    <w:rsid w:val="00A978D7"/>
    <w:rsid w:val="00A97AA8"/>
    <w:rsid w:val="00A97AF4"/>
    <w:rsid w:val="00AA399C"/>
    <w:rsid w:val="00AA47FD"/>
    <w:rsid w:val="00AA7C94"/>
    <w:rsid w:val="00AB04A3"/>
    <w:rsid w:val="00AB10F7"/>
    <w:rsid w:val="00AB20E6"/>
    <w:rsid w:val="00AB45A4"/>
    <w:rsid w:val="00AB4793"/>
    <w:rsid w:val="00AC2079"/>
    <w:rsid w:val="00AD6D36"/>
    <w:rsid w:val="00AE1974"/>
    <w:rsid w:val="00AE74B2"/>
    <w:rsid w:val="00AE780E"/>
    <w:rsid w:val="00AF2222"/>
    <w:rsid w:val="00AF5417"/>
    <w:rsid w:val="00AF6315"/>
    <w:rsid w:val="00B01DC0"/>
    <w:rsid w:val="00B03EF9"/>
    <w:rsid w:val="00B04D66"/>
    <w:rsid w:val="00B04F1D"/>
    <w:rsid w:val="00B06CB9"/>
    <w:rsid w:val="00B07A88"/>
    <w:rsid w:val="00B07B61"/>
    <w:rsid w:val="00B10C04"/>
    <w:rsid w:val="00B1113B"/>
    <w:rsid w:val="00B1309B"/>
    <w:rsid w:val="00B14D0D"/>
    <w:rsid w:val="00B152CF"/>
    <w:rsid w:val="00B169CD"/>
    <w:rsid w:val="00B20C6D"/>
    <w:rsid w:val="00B31A37"/>
    <w:rsid w:val="00B346B8"/>
    <w:rsid w:val="00B37811"/>
    <w:rsid w:val="00B42135"/>
    <w:rsid w:val="00B439DF"/>
    <w:rsid w:val="00B46659"/>
    <w:rsid w:val="00B50F7A"/>
    <w:rsid w:val="00B5408E"/>
    <w:rsid w:val="00B62146"/>
    <w:rsid w:val="00B62157"/>
    <w:rsid w:val="00B64B93"/>
    <w:rsid w:val="00B67B41"/>
    <w:rsid w:val="00B67F92"/>
    <w:rsid w:val="00B703D3"/>
    <w:rsid w:val="00B704DE"/>
    <w:rsid w:val="00B72F16"/>
    <w:rsid w:val="00B7406C"/>
    <w:rsid w:val="00B744AE"/>
    <w:rsid w:val="00B773EC"/>
    <w:rsid w:val="00B81B48"/>
    <w:rsid w:val="00B83AB8"/>
    <w:rsid w:val="00B96809"/>
    <w:rsid w:val="00BA25F5"/>
    <w:rsid w:val="00BA267F"/>
    <w:rsid w:val="00BA3AFB"/>
    <w:rsid w:val="00BA3E02"/>
    <w:rsid w:val="00BA7CDA"/>
    <w:rsid w:val="00BB56C6"/>
    <w:rsid w:val="00BB6ADA"/>
    <w:rsid w:val="00BC131D"/>
    <w:rsid w:val="00BC3101"/>
    <w:rsid w:val="00BC766F"/>
    <w:rsid w:val="00BD26B2"/>
    <w:rsid w:val="00BD3D1F"/>
    <w:rsid w:val="00BD3EEA"/>
    <w:rsid w:val="00BD403C"/>
    <w:rsid w:val="00BD536C"/>
    <w:rsid w:val="00BD53A6"/>
    <w:rsid w:val="00BD6414"/>
    <w:rsid w:val="00BD6464"/>
    <w:rsid w:val="00BE025A"/>
    <w:rsid w:val="00BE029F"/>
    <w:rsid w:val="00BF2B05"/>
    <w:rsid w:val="00BF35E1"/>
    <w:rsid w:val="00C0159F"/>
    <w:rsid w:val="00C01D1C"/>
    <w:rsid w:val="00C04AF3"/>
    <w:rsid w:val="00C05F32"/>
    <w:rsid w:val="00C0725F"/>
    <w:rsid w:val="00C07B99"/>
    <w:rsid w:val="00C14E2F"/>
    <w:rsid w:val="00C14F1A"/>
    <w:rsid w:val="00C3020D"/>
    <w:rsid w:val="00C308EA"/>
    <w:rsid w:val="00C32491"/>
    <w:rsid w:val="00C3424D"/>
    <w:rsid w:val="00C41F46"/>
    <w:rsid w:val="00C432BA"/>
    <w:rsid w:val="00C47510"/>
    <w:rsid w:val="00C4777D"/>
    <w:rsid w:val="00C50005"/>
    <w:rsid w:val="00C54643"/>
    <w:rsid w:val="00C606FE"/>
    <w:rsid w:val="00C646DC"/>
    <w:rsid w:val="00C64DE0"/>
    <w:rsid w:val="00C678BE"/>
    <w:rsid w:val="00C74C55"/>
    <w:rsid w:val="00C83210"/>
    <w:rsid w:val="00C8666B"/>
    <w:rsid w:val="00C87377"/>
    <w:rsid w:val="00C87D17"/>
    <w:rsid w:val="00C9320F"/>
    <w:rsid w:val="00C95958"/>
    <w:rsid w:val="00C95AC9"/>
    <w:rsid w:val="00C95BC9"/>
    <w:rsid w:val="00C95C4C"/>
    <w:rsid w:val="00C97823"/>
    <w:rsid w:val="00CA6B2C"/>
    <w:rsid w:val="00CB0CC8"/>
    <w:rsid w:val="00CB4C81"/>
    <w:rsid w:val="00CB69A9"/>
    <w:rsid w:val="00CB71CF"/>
    <w:rsid w:val="00CB755C"/>
    <w:rsid w:val="00CC0E00"/>
    <w:rsid w:val="00CC0F96"/>
    <w:rsid w:val="00CC31FD"/>
    <w:rsid w:val="00CC342D"/>
    <w:rsid w:val="00CC4582"/>
    <w:rsid w:val="00CC4AB0"/>
    <w:rsid w:val="00CC57C8"/>
    <w:rsid w:val="00CC6EEF"/>
    <w:rsid w:val="00CD44A8"/>
    <w:rsid w:val="00CE25F7"/>
    <w:rsid w:val="00CE55DD"/>
    <w:rsid w:val="00CE5884"/>
    <w:rsid w:val="00CE7AAB"/>
    <w:rsid w:val="00CF12D9"/>
    <w:rsid w:val="00CF3141"/>
    <w:rsid w:val="00CF3582"/>
    <w:rsid w:val="00CF5442"/>
    <w:rsid w:val="00D01705"/>
    <w:rsid w:val="00D05F35"/>
    <w:rsid w:val="00D1061E"/>
    <w:rsid w:val="00D1670B"/>
    <w:rsid w:val="00D17824"/>
    <w:rsid w:val="00D20963"/>
    <w:rsid w:val="00D23B51"/>
    <w:rsid w:val="00D23C14"/>
    <w:rsid w:val="00D2490C"/>
    <w:rsid w:val="00D25C67"/>
    <w:rsid w:val="00D30555"/>
    <w:rsid w:val="00D30CEE"/>
    <w:rsid w:val="00D32422"/>
    <w:rsid w:val="00D36CBD"/>
    <w:rsid w:val="00D401E3"/>
    <w:rsid w:val="00D41486"/>
    <w:rsid w:val="00D427EA"/>
    <w:rsid w:val="00D44316"/>
    <w:rsid w:val="00D44D66"/>
    <w:rsid w:val="00D51BBD"/>
    <w:rsid w:val="00D60925"/>
    <w:rsid w:val="00D66A76"/>
    <w:rsid w:val="00D73712"/>
    <w:rsid w:val="00D75860"/>
    <w:rsid w:val="00D75F33"/>
    <w:rsid w:val="00D777B5"/>
    <w:rsid w:val="00D82B2C"/>
    <w:rsid w:val="00D82C89"/>
    <w:rsid w:val="00D915A9"/>
    <w:rsid w:val="00D93577"/>
    <w:rsid w:val="00D941AE"/>
    <w:rsid w:val="00DA1CED"/>
    <w:rsid w:val="00DA5A80"/>
    <w:rsid w:val="00DB041F"/>
    <w:rsid w:val="00DB0866"/>
    <w:rsid w:val="00DB1E82"/>
    <w:rsid w:val="00DB4F01"/>
    <w:rsid w:val="00DB5CB3"/>
    <w:rsid w:val="00DB7C87"/>
    <w:rsid w:val="00DC30AD"/>
    <w:rsid w:val="00DC4C06"/>
    <w:rsid w:val="00DD3E95"/>
    <w:rsid w:val="00DD7FE7"/>
    <w:rsid w:val="00DF0B55"/>
    <w:rsid w:val="00DF405B"/>
    <w:rsid w:val="00DF46BC"/>
    <w:rsid w:val="00E0053E"/>
    <w:rsid w:val="00E027B7"/>
    <w:rsid w:val="00E05B88"/>
    <w:rsid w:val="00E125F8"/>
    <w:rsid w:val="00E14264"/>
    <w:rsid w:val="00E1476D"/>
    <w:rsid w:val="00E2092B"/>
    <w:rsid w:val="00E212F7"/>
    <w:rsid w:val="00E23A43"/>
    <w:rsid w:val="00E30174"/>
    <w:rsid w:val="00E30CF0"/>
    <w:rsid w:val="00E33DE6"/>
    <w:rsid w:val="00E37456"/>
    <w:rsid w:val="00E41B6C"/>
    <w:rsid w:val="00E43A94"/>
    <w:rsid w:val="00E459AD"/>
    <w:rsid w:val="00E47481"/>
    <w:rsid w:val="00E505BC"/>
    <w:rsid w:val="00E52BA5"/>
    <w:rsid w:val="00E53AFC"/>
    <w:rsid w:val="00E64F0A"/>
    <w:rsid w:val="00E703D6"/>
    <w:rsid w:val="00E71AA7"/>
    <w:rsid w:val="00E77156"/>
    <w:rsid w:val="00E87BE6"/>
    <w:rsid w:val="00E965FB"/>
    <w:rsid w:val="00E96BA4"/>
    <w:rsid w:val="00EA056C"/>
    <w:rsid w:val="00EA13AF"/>
    <w:rsid w:val="00EA42DA"/>
    <w:rsid w:val="00EA793F"/>
    <w:rsid w:val="00EB0BBD"/>
    <w:rsid w:val="00EB15E8"/>
    <w:rsid w:val="00EB1DE5"/>
    <w:rsid w:val="00EB3786"/>
    <w:rsid w:val="00EB3C59"/>
    <w:rsid w:val="00EB639D"/>
    <w:rsid w:val="00EB7F85"/>
    <w:rsid w:val="00EC006B"/>
    <w:rsid w:val="00EC60E1"/>
    <w:rsid w:val="00EC67C5"/>
    <w:rsid w:val="00EC725B"/>
    <w:rsid w:val="00ED0F03"/>
    <w:rsid w:val="00ED1007"/>
    <w:rsid w:val="00ED2E7E"/>
    <w:rsid w:val="00ED4F1B"/>
    <w:rsid w:val="00ED53D0"/>
    <w:rsid w:val="00ED5522"/>
    <w:rsid w:val="00ED5A39"/>
    <w:rsid w:val="00ED7359"/>
    <w:rsid w:val="00EE2F5A"/>
    <w:rsid w:val="00EE5585"/>
    <w:rsid w:val="00EE634A"/>
    <w:rsid w:val="00EF0B74"/>
    <w:rsid w:val="00EF2386"/>
    <w:rsid w:val="00EF41DE"/>
    <w:rsid w:val="00EF7017"/>
    <w:rsid w:val="00EF7602"/>
    <w:rsid w:val="00F002F1"/>
    <w:rsid w:val="00F013F0"/>
    <w:rsid w:val="00F042F3"/>
    <w:rsid w:val="00F108D9"/>
    <w:rsid w:val="00F163CD"/>
    <w:rsid w:val="00F2027B"/>
    <w:rsid w:val="00F2045F"/>
    <w:rsid w:val="00F20746"/>
    <w:rsid w:val="00F21C9A"/>
    <w:rsid w:val="00F230B0"/>
    <w:rsid w:val="00F23A2A"/>
    <w:rsid w:val="00F23D18"/>
    <w:rsid w:val="00F24225"/>
    <w:rsid w:val="00F3151F"/>
    <w:rsid w:val="00F31E03"/>
    <w:rsid w:val="00F33422"/>
    <w:rsid w:val="00F35D39"/>
    <w:rsid w:val="00F360A2"/>
    <w:rsid w:val="00F440AC"/>
    <w:rsid w:val="00F501B0"/>
    <w:rsid w:val="00F50EC3"/>
    <w:rsid w:val="00F5199D"/>
    <w:rsid w:val="00F52F6B"/>
    <w:rsid w:val="00F56971"/>
    <w:rsid w:val="00F56FF1"/>
    <w:rsid w:val="00F57303"/>
    <w:rsid w:val="00F606EC"/>
    <w:rsid w:val="00F608F0"/>
    <w:rsid w:val="00F715FE"/>
    <w:rsid w:val="00F77720"/>
    <w:rsid w:val="00F86F6C"/>
    <w:rsid w:val="00F90EF2"/>
    <w:rsid w:val="00F9101B"/>
    <w:rsid w:val="00F91B89"/>
    <w:rsid w:val="00F920ED"/>
    <w:rsid w:val="00F92539"/>
    <w:rsid w:val="00F941BD"/>
    <w:rsid w:val="00F94307"/>
    <w:rsid w:val="00FA30DD"/>
    <w:rsid w:val="00FA6676"/>
    <w:rsid w:val="00FB217E"/>
    <w:rsid w:val="00FB2AB1"/>
    <w:rsid w:val="00FB6A55"/>
    <w:rsid w:val="00FC5F62"/>
    <w:rsid w:val="00FC7B73"/>
    <w:rsid w:val="00FE3CAE"/>
    <w:rsid w:val="00FE7314"/>
    <w:rsid w:val="00FE769E"/>
    <w:rsid w:val="00FF00E9"/>
    <w:rsid w:val="00FF3D9B"/>
    <w:rsid w:val="00FF423B"/>
    <w:rsid w:val="00FF5544"/>
    <w:rsid w:val="00FF642F"/>
    <w:rsid w:val="02705435"/>
    <w:rsid w:val="0360188E"/>
    <w:rsid w:val="03963334"/>
    <w:rsid w:val="03A26CAA"/>
    <w:rsid w:val="03E5651C"/>
    <w:rsid w:val="06D16D43"/>
    <w:rsid w:val="06F12F6F"/>
    <w:rsid w:val="07C063F1"/>
    <w:rsid w:val="07FD0C28"/>
    <w:rsid w:val="0869448C"/>
    <w:rsid w:val="0BBF10B9"/>
    <w:rsid w:val="0CA11796"/>
    <w:rsid w:val="0E0A58E8"/>
    <w:rsid w:val="0E1E7AC7"/>
    <w:rsid w:val="0E27538F"/>
    <w:rsid w:val="0FDA6BE8"/>
    <w:rsid w:val="120A1316"/>
    <w:rsid w:val="122E5BE8"/>
    <w:rsid w:val="1293043C"/>
    <w:rsid w:val="14FB19B3"/>
    <w:rsid w:val="154E333B"/>
    <w:rsid w:val="15DF13B3"/>
    <w:rsid w:val="15EA0FD2"/>
    <w:rsid w:val="171D3080"/>
    <w:rsid w:val="18203F51"/>
    <w:rsid w:val="184730BA"/>
    <w:rsid w:val="19090012"/>
    <w:rsid w:val="1B783AD9"/>
    <w:rsid w:val="1B8071A1"/>
    <w:rsid w:val="1CC03F61"/>
    <w:rsid w:val="1D3A6B3F"/>
    <w:rsid w:val="1D4659A5"/>
    <w:rsid w:val="1D954DF0"/>
    <w:rsid w:val="1D9C3C15"/>
    <w:rsid w:val="1E39029C"/>
    <w:rsid w:val="1F3114DA"/>
    <w:rsid w:val="1F9D6BE6"/>
    <w:rsid w:val="20CE4EFD"/>
    <w:rsid w:val="22133DF2"/>
    <w:rsid w:val="22463D85"/>
    <w:rsid w:val="22E51E18"/>
    <w:rsid w:val="23DC156B"/>
    <w:rsid w:val="2660234A"/>
    <w:rsid w:val="27034E76"/>
    <w:rsid w:val="279464A5"/>
    <w:rsid w:val="29C02FB6"/>
    <w:rsid w:val="2C64547A"/>
    <w:rsid w:val="2CB9797E"/>
    <w:rsid w:val="30821076"/>
    <w:rsid w:val="30C93059"/>
    <w:rsid w:val="31E54D00"/>
    <w:rsid w:val="359A2C14"/>
    <w:rsid w:val="362F363D"/>
    <w:rsid w:val="364657FD"/>
    <w:rsid w:val="36B9641C"/>
    <w:rsid w:val="370751D8"/>
    <w:rsid w:val="38134907"/>
    <w:rsid w:val="38311E13"/>
    <w:rsid w:val="3842307F"/>
    <w:rsid w:val="3C0C70D1"/>
    <w:rsid w:val="3C3A76CB"/>
    <w:rsid w:val="3C595D34"/>
    <w:rsid w:val="3DAE7F00"/>
    <w:rsid w:val="3F58371B"/>
    <w:rsid w:val="3F612A16"/>
    <w:rsid w:val="3F872E6B"/>
    <w:rsid w:val="4016338D"/>
    <w:rsid w:val="4035645C"/>
    <w:rsid w:val="40494EF2"/>
    <w:rsid w:val="41F15F23"/>
    <w:rsid w:val="42EC44C9"/>
    <w:rsid w:val="433568D2"/>
    <w:rsid w:val="44082566"/>
    <w:rsid w:val="445B547A"/>
    <w:rsid w:val="44CA636B"/>
    <w:rsid w:val="456B5F65"/>
    <w:rsid w:val="45897D93"/>
    <w:rsid w:val="45A66EEC"/>
    <w:rsid w:val="46BB5AE5"/>
    <w:rsid w:val="47075D8E"/>
    <w:rsid w:val="48133BEE"/>
    <w:rsid w:val="488964A8"/>
    <w:rsid w:val="49706157"/>
    <w:rsid w:val="49980FE6"/>
    <w:rsid w:val="4A8D46CE"/>
    <w:rsid w:val="4B0A5F22"/>
    <w:rsid w:val="4B7F7800"/>
    <w:rsid w:val="4B9B6318"/>
    <w:rsid w:val="4CF60476"/>
    <w:rsid w:val="4E0B6FBE"/>
    <w:rsid w:val="50963187"/>
    <w:rsid w:val="50A849F3"/>
    <w:rsid w:val="513501D9"/>
    <w:rsid w:val="52136ABF"/>
    <w:rsid w:val="52E918D7"/>
    <w:rsid w:val="56B86F91"/>
    <w:rsid w:val="572815F2"/>
    <w:rsid w:val="589C308F"/>
    <w:rsid w:val="590C45AA"/>
    <w:rsid w:val="59CB3F35"/>
    <w:rsid w:val="5A214961"/>
    <w:rsid w:val="5B0C2A7A"/>
    <w:rsid w:val="5BD46E4D"/>
    <w:rsid w:val="5C5A180E"/>
    <w:rsid w:val="5CBF559E"/>
    <w:rsid w:val="5CEA1173"/>
    <w:rsid w:val="5D704A6F"/>
    <w:rsid w:val="5E556F61"/>
    <w:rsid w:val="5E913FA3"/>
    <w:rsid w:val="5EB030D4"/>
    <w:rsid w:val="5F555D9B"/>
    <w:rsid w:val="5FA215AB"/>
    <w:rsid w:val="5FD32303"/>
    <w:rsid w:val="61100B97"/>
    <w:rsid w:val="61871B6D"/>
    <w:rsid w:val="61DB3B8E"/>
    <w:rsid w:val="62195878"/>
    <w:rsid w:val="63073810"/>
    <w:rsid w:val="632D292D"/>
    <w:rsid w:val="65425EEB"/>
    <w:rsid w:val="663B0F19"/>
    <w:rsid w:val="66A83C5B"/>
    <w:rsid w:val="68A8255D"/>
    <w:rsid w:val="6A381492"/>
    <w:rsid w:val="6C527F99"/>
    <w:rsid w:val="6D567859"/>
    <w:rsid w:val="6F3217F8"/>
    <w:rsid w:val="6F865C86"/>
    <w:rsid w:val="74100434"/>
    <w:rsid w:val="7A1C36AC"/>
    <w:rsid w:val="7BF26965"/>
    <w:rsid w:val="7C3662C8"/>
    <w:rsid w:val="7CA519E4"/>
    <w:rsid w:val="7D8C21B9"/>
    <w:rsid w:val="7EA8215E"/>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numPr>
        <w:ilvl w:val="2"/>
        <w:numId w:val="1"/>
      </w:numPr>
      <w:spacing w:before="260" w:after="260" w:line="415" w:lineRule="auto"/>
      <w:outlineLvl w:val="2"/>
    </w:pPr>
    <w:rPr>
      <w:b/>
      <w:bCs/>
      <w:sz w:val="32"/>
      <w:szCs w:val="32"/>
    </w:rPr>
  </w:style>
  <w:style w:type="paragraph" w:styleId="5">
    <w:name w:val="heading 4"/>
    <w:basedOn w:val="1"/>
    <w:next w:val="1"/>
    <w:autoRedefine/>
    <w:qFormat/>
    <w:uiPriority w:val="0"/>
    <w:pPr>
      <w:keepNext/>
      <w:ind w:left="600" w:leftChars="600"/>
      <w:outlineLvl w:val="3"/>
    </w:pPr>
    <w:rPr>
      <w:rFonts w:ascii="仿宋_GB2312" w:eastAsia="仿宋_GB2312"/>
      <w:color w:val="000000"/>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napToGrid w:val="0"/>
      <w:spacing w:line="360" w:lineRule="auto"/>
      <w:ind w:firstLine="567"/>
    </w:pPr>
    <w:rPr>
      <w:sz w:val="28"/>
      <w:szCs w:val="20"/>
    </w:rPr>
  </w:style>
  <w:style w:type="paragraph" w:styleId="7">
    <w:name w:val="annotation text"/>
    <w:basedOn w:val="1"/>
    <w:autoRedefine/>
    <w:qFormat/>
    <w:uiPriority w:val="0"/>
    <w:pPr>
      <w:jc w:val="left"/>
    </w:pPr>
    <w:rPr>
      <w:szCs w:val="20"/>
    </w:rPr>
  </w:style>
  <w:style w:type="paragraph" w:styleId="8">
    <w:name w:val="Body Text 3"/>
    <w:basedOn w:val="1"/>
    <w:autoRedefine/>
    <w:qFormat/>
    <w:uiPriority w:val="0"/>
    <w:pPr>
      <w:spacing w:after="120"/>
    </w:pPr>
    <w:rPr>
      <w:sz w:val="16"/>
      <w:szCs w:val="16"/>
    </w:rPr>
  </w:style>
  <w:style w:type="paragraph" w:styleId="9">
    <w:name w:val="Body Text"/>
    <w:basedOn w:val="1"/>
    <w:autoRedefine/>
    <w:qFormat/>
    <w:uiPriority w:val="0"/>
    <w:pPr>
      <w:adjustRightInd w:val="0"/>
      <w:snapToGrid w:val="0"/>
    </w:pPr>
    <w:rPr>
      <w:rFonts w:eastAsia="仿宋_GB2312"/>
      <w:color w:val="FF0000"/>
      <w:sz w:val="28"/>
      <w:szCs w:val="20"/>
    </w:rPr>
  </w:style>
  <w:style w:type="paragraph" w:styleId="10">
    <w:name w:val="Body Text Indent"/>
    <w:basedOn w:val="1"/>
    <w:autoRedefine/>
    <w:qFormat/>
    <w:uiPriority w:val="0"/>
    <w:pPr>
      <w:ind w:left="420" w:firstLine="420"/>
    </w:pPr>
    <w:rPr>
      <w:sz w:val="28"/>
      <w:szCs w:val="28"/>
    </w:rPr>
  </w:style>
  <w:style w:type="paragraph" w:styleId="11">
    <w:name w:val="Plain Text"/>
    <w:basedOn w:val="1"/>
    <w:link w:val="28"/>
    <w:autoRedefine/>
    <w:qFormat/>
    <w:uiPriority w:val="0"/>
    <w:pPr>
      <w:adjustRightInd w:val="0"/>
      <w:spacing w:line="312" w:lineRule="atLeast"/>
    </w:pPr>
    <w:rPr>
      <w:rFonts w:ascii="Courier New" w:hAnsi="Courier New"/>
      <w:kern w:val="0"/>
      <w:szCs w:val="21"/>
    </w:rPr>
  </w:style>
  <w:style w:type="paragraph" w:styleId="12">
    <w:name w:val="Date"/>
    <w:next w:val="1"/>
    <w:autoRedefine/>
    <w:qFormat/>
    <w:uiPriority w:val="0"/>
    <w:pPr>
      <w:widowControl w:val="0"/>
      <w:adjustRightInd w:val="0"/>
      <w:spacing w:line="312" w:lineRule="atLeast"/>
      <w:jc w:val="both"/>
      <w:textAlignment w:val="baseline"/>
    </w:pPr>
    <w:rPr>
      <w:rFonts w:ascii="仿宋体" w:hAnsi="Times New Roman" w:eastAsia="仿宋体" w:cs="Times New Roman"/>
      <w:sz w:val="28"/>
      <w:lang w:val="en-US" w:eastAsia="zh-CN" w:bidi="ar-SA"/>
    </w:rPr>
  </w:style>
  <w:style w:type="paragraph" w:styleId="13">
    <w:name w:val="Body Text Indent 2"/>
    <w:basedOn w:val="1"/>
    <w:autoRedefine/>
    <w:qFormat/>
    <w:uiPriority w:val="0"/>
    <w:pPr>
      <w:tabs>
        <w:tab w:val="left" w:pos="1920"/>
      </w:tabs>
      <w:adjustRightInd w:val="0"/>
      <w:snapToGrid w:val="0"/>
      <w:spacing w:line="360" w:lineRule="auto"/>
      <w:ind w:firstLine="224" w:firstLineChars="224"/>
      <w:outlineLvl w:val="0"/>
    </w:pPr>
    <w:rPr>
      <w:rFonts w:eastAsia="仿宋_GB2312"/>
      <w:color w:val="000000"/>
      <w:sz w:val="28"/>
      <w:szCs w:val="32"/>
    </w:rPr>
  </w:style>
  <w:style w:type="paragraph" w:styleId="14">
    <w:name w:val="Balloon Text"/>
    <w:basedOn w:val="1"/>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17">
    <w:name w:val="Body Text Indent 3"/>
    <w:basedOn w:val="1"/>
    <w:autoRedefine/>
    <w:qFormat/>
    <w:uiPriority w:val="0"/>
    <w:pPr>
      <w:adjustRightInd w:val="0"/>
      <w:spacing w:before="120" w:line="312" w:lineRule="atLeast"/>
      <w:ind w:right="-335" w:firstLine="432"/>
    </w:pPr>
    <w:rPr>
      <w:rFonts w:eastAsia="仿宋_GB2312"/>
      <w:kern w:val="0"/>
      <w:sz w:val="28"/>
      <w:szCs w:val="28"/>
    </w:rPr>
  </w:style>
  <w:style w:type="paragraph" w:styleId="18">
    <w:name w:val="Body Text 2"/>
    <w:basedOn w:val="1"/>
    <w:autoRedefine/>
    <w:qFormat/>
    <w:uiPriority w:val="0"/>
    <w:pPr>
      <w:spacing w:after="120" w:line="480" w:lineRule="auto"/>
    </w:pPr>
    <w:rPr>
      <w:szCs w:val="20"/>
    </w:rPr>
  </w:style>
  <w:style w:type="paragraph" w:styleId="19">
    <w:name w:val="Normal (Web)"/>
    <w:basedOn w:val="1"/>
    <w:autoRedefine/>
    <w:qFormat/>
    <w:uiPriority w:val="99"/>
    <w:pPr>
      <w:widowControl/>
      <w:jc w:val="left"/>
    </w:pPr>
    <w:rPr>
      <w:rFonts w:ascii="宋体" w:cs="宋体"/>
      <w:kern w:val="0"/>
      <w:sz w:val="24"/>
    </w:rPr>
  </w:style>
  <w:style w:type="paragraph" w:styleId="20">
    <w:name w:val="annotation subject"/>
    <w:basedOn w:val="7"/>
    <w:next w:val="7"/>
    <w:autoRedefine/>
    <w:qFormat/>
    <w:uiPriority w:val="0"/>
    <w:rPr>
      <w:b/>
      <w:bCs/>
      <w:szCs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character" w:customStyle="1" w:styleId="28">
    <w:name w:val="纯文本 字符1"/>
    <w:link w:val="11"/>
    <w:autoRedefine/>
    <w:qFormat/>
    <w:uiPriority w:val="0"/>
    <w:rPr>
      <w:rFonts w:ascii="Courier New" w:hAnsi="Courier New" w:eastAsia="宋体"/>
      <w:sz w:val="21"/>
      <w:szCs w:val="21"/>
      <w:lang w:val="en-US" w:eastAsia="zh-CN" w:bidi="ar-SA"/>
    </w:rPr>
  </w:style>
  <w:style w:type="character" w:customStyle="1" w:styleId="29">
    <w:name w:val="纯文本 Char1"/>
    <w:autoRedefine/>
    <w:qFormat/>
    <w:uiPriority w:val="0"/>
    <w:rPr>
      <w:rFonts w:ascii="宋体" w:eastAsia="宋体"/>
      <w:kern w:val="2"/>
      <w:sz w:val="28"/>
      <w:lang w:val="en-US" w:eastAsia="zh-CN" w:bidi="ar-SA"/>
    </w:rPr>
  </w:style>
  <w:style w:type="character" w:customStyle="1" w:styleId="30">
    <w:name w:val="style1"/>
    <w:basedOn w:val="23"/>
    <w:autoRedefine/>
    <w:qFormat/>
    <w:uiPriority w:val="0"/>
  </w:style>
  <w:style w:type="character" w:customStyle="1" w:styleId="31">
    <w:name w:val="ppp2"/>
    <w:autoRedefine/>
    <w:qFormat/>
    <w:uiPriority w:val="0"/>
    <w:rPr>
      <w:sz w:val="21"/>
      <w:szCs w:val="21"/>
    </w:rPr>
  </w:style>
  <w:style w:type="character" w:customStyle="1" w:styleId="32">
    <w:name w:val="正文（首行缩进两字） Char Char2"/>
    <w:autoRedefine/>
    <w:qFormat/>
    <w:uiPriority w:val="0"/>
    <w:rPr>
      <w:rFonts w:eastAsia="宋体"/>
      <w:kern w:val="2"/>
      <w:sz w:val="28"/>
      <w:lang w:val="en-US" w:eastAsia="zh-CN" w:bidi="ar-SA"/>
    </w:rPr>
  </w:style>
  <w:style w:type="character" w:customStyle="1" w:styleId="33">
    <w:name w:val="description"/>
    <w:autoRedefine/>
    <w:qFormat/>
    <w:uiPriority w:val="0"/>
  </w:style>
  <w:style w:type="character" w:customStyle="1" w:styleId="34">
    <w:name w:val="apple-style-span"/>
    <w:basedOn w:val="23"/>
    <w:autoRedefine/>
    <w:qFormat/>
    <w:uiPriority w:val="0"/>
  </w:style>
  <w:style w:type="character" w:customStyle="1" w:styleId="35">
    <w:name w:val="font31"/>
    <w:autoRedefine/>
    <w:qFormat/>
    <w:uiPriority w:val="0"/>
    <w:rPr>
      <w:rFonts w:hint="default" w:ascii="仿宋_GB2312" w:eastAsia="仿宋_GB2312" w:cs="仿宋_GB2312"/>
      <w:b/>
      <w:color w:val="000000"/>
      <w:sz w:val="18"/>
      <w:szCs w:val="18"/>
      <w:u w:val="none"/>
    </w:rPr>
  </w:style>
  <w:style w:type="character" w:customStyle="1" w:styleId="36">
    <w:name w:val="hj"/>
    <w:basedOn w:val="23"/>
    <w:autoRedefine/>
    <w:qFormat/>
    <w:uiPriority w:val="0"/>
  </w:style>
  <w:style w:type="character" w:customStyle="1" w:styleId="37">
    <w:name w:val="普通文字 Char1"/>
    <w:autoRedefine/>
    <w:qFormat/>
    <w:uiPriority w:val="0"/>
    <w:rPr>
      <w:rFonts w:ascii="Courier New" w:hAnsi="Courier New" w:eastAsia="宋体"/>
      <w:sz w:val="21"/>
      <w:lang w:val="en-US" w:eastAsia="zh-CN" w:bidi="ar-SA"/>
    </w:rPr>
  </w:style>
  <w:style w:type="character" w:customStyle="1" w:styleId="38">
    <w:name w:val="message"/>
    <w:basedOn w:val="23"/>
    <w:autoRedefine/>
    <w:qFormat/>
    <w:uiPriority w:val="0"/>
  </w:style>
  <w:style w:type="character" w:customStyle="1" w:styleId="39">
    <w:name w:val="tt21"/>
    <w:autoRedefine/>
    <w:qFormat/>
    <w:uiPriority w:val="0"/>
    <w:rPr>
      <w:rFonts w:ascii="宋体" w:eastAsia="宋体"/>
      <w:b/>
      <w:bCs/>
      <w:color w:val="000000"/>
      <w:sz w:val="33"/>
      <w:szCs w:val="33"/>
      <w:u w:val="none"/>
    </w:rPr>
  </w:style>
  <w:style w:type="character" w:customStyle="1" w:styleId="40">
    <w:name w:val="font11"/>
    <w:autoRedefine/>
    <w:qFormat/>
    <w:uiPriority w:val="0"/>
    <w:rPr>
      <w:rFonts w:ascii="仿宋_GB2312" w:eastAsia="仿宋_GB2312" w:cs="仿宋_GB2312"/>
      <w:color w:val="000000"/>
      <w:sz w:val="21"/>
      <w:szCs w:val="21"/>
      <w:u w:val="none"/>
    </w:rPr>
  </w:style>
  <w:style w:type="character" w:customStyle="1" w:styleId="41">
    <w:name w:val="apple-converted-space"/>
    <w:basedOn w:val="23"/>
    <w:autoRedefine/>
    <w:qFormat/>
    <w:uiPriority w:val="0"/>
  </w:style>
  <w:style w:type="character" w:customStyle="1" w:styleId="42">
    <w:name w:val="纯文本 字符"/>
    <w:autoRedefine/>
    <w:qFormat/>
    <w:locked/>
    <w:uiPriority w:val="0"/>
    <w:rPr>
      <w:rFonts w:ascii="宋体" w:hAnsi="宋体" w:eastAsia="宋体"/>
      <w:kern w:val="2"/>
      <w:sz w:val="28"/>
    </w:rPr>
  </w:style>
  <w:style w:type="character" w:customStyle="1" w:styleId="43">
    <w:name w:val="font21"/>
    <w:autoRedefine/>
    <w:qFormat/>
    <w:uiPriority w:val="0"/>
    <w:rPr>
      <w:rFonts w:hint="default" w:ascii="Times New Roman" w:hAnsi="Times New Roman" w:cs="Times New Roman"/>
      <w:b/>
      <w:color w:val="000000"/>
      <w:sz w:val="18"/>
      <w:szCs w:val="18"/>
      <w:u w:val="none"/>
    </w:rPr>
  </w:style>
  <w:style w:type="character" w:customStyle="1" w:styleId="44">
    <w:name w:val="type_blue_61"/>
    <w:autoRedefine/>
    <w:qFormat/>
    <w:uiPriority w:val="0"/>
    <w:rPr>
      <w:color w:val="002565"/>
      <w:sz w:val="21"/>
      <w:szCs w:val="21"/>
      <w:u w:val="none"/>
    </w:rPr>
  </w:style>
  <w:style w:type="paragraph" w:customStyle="1" w:styleId="45">
    <w:name w:val="标准"/>
    <w:basedOn w:val="1"/>
    <w:autoRedefine/>
    <w:qFormat/>
    <w:uiPriority w:val="0"/>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46">
    <w:name w:val="样式7"/>
    <w:basedOn w:val="1"/>
    <w:autoRedefine/>
    <w:qFormat/>
    <w:uiPriority w:val="0"/>
    <w:pPr>
      <w:spacing w:line="360" w:lineRule="auto"/>
      <w:ind w:firstLine="567"/>
    </w:pPr>
    <w:rPr>
      <w:rFonts w:ascii="仿宋_GB2312" w:eastAsia="仿宋_GB2312"/>
      <w:sz w:val="28"/>
      <w:szCs w:val="20"/>
    </w:rPr>
  </w:style>
  <w:style w:type="paragraph" w:customStyle="1" w:styleId="47">
    <w:name w:val="Char"/>
    <w:basedOn w:val="1"/>
    <w:autoRedefine/>
    <w:qFormat/>
    <w:uiPriority w:val="0"/>
    <w:rPr>
      <w:rFonts w:ascii="Tahoma" w:hAnsi="Tahoma"/>
      <w:sz w:val="24"/>
      <w:szCs w:val="20"/>
    </w:rPr>
  </w:style>
  <w:style w:type="paragraph" w:customStyle="1" w:styleId="48">
    <w:name w:val="默认段落字体 Para Char Char Char Char Char Char Char"/>
    <w:basedOn w:val="1"/>
    <w:autoRedefine/>
    <w:qFormat/>
    <w:uiPriority w:val="0"/>
  </w:style>
  <w:style w:type="paragraph" w:customStyle="1" w:styleId="49">
    <w:name w:val="2"/>
    <w:basedOn w:val="1"/>
    <w:next w:val="6"/>
    <w:autoRedefine/>
    <w:qFormat/>
    <w:uiPriority w:val="0"/>
    <w:pPr>
      <w:snapToGrid w:val="0"/>
      <w:spacing w:line="360" w:lineRule="auto"/>
      <w:ind w:firstLine="567"/>
    </w:pPr>
    <w:rPr>
      <w:sz w:val="28"/>
      <w:szCs w:val="20"/>
    </w:rPr>
  </w:style>
  <w:style w:type="paragraph" w:customStyle="1" w:styleId="50">
    <w:name w:val="pic-info"/>
    <w:basedOn w:val="1"/>
    <w:autoRedefine/>
    <w:qFormat/>
    <w:uiPriority w:val="0"/>
    <w:pPr>
      <w:widowControl/>
      <w:spacing w:before="100" w:beforeAutospacing="1" w:after="100" w:afterAutospacing="1"/>
      <w:jc w:val="left"/>
    </w:pPr>
    <w:rPr>
      <w:rFonts w:ascii="宋体" w:cs="宋体"/>
      <w:kern w:val="0"/>
      <w:sz w:val="24"/>
    </w:rPr>
  </w:style>
  <w:style w:type="paragraph" w:customStyle="1" w:styleId="51">
    <w:name w:val="列出段落"/>
    <w:basedOn w:val="1"/>
    <w:autoRedefine/>
    <w:qFormat/>
    <w:uiPriority w:val="0"/>
    <w:pPr>
      <w:ind w:firstLine="200" w:firstLineChars="200"/>
    </w:pPr>
  </w:style>
  <w:style w:type="paragraph" w:customStyle="1" w:styleId="52">
    <w:name w:val="样式3"/>
    <w:basedOn w:val="1"/>
    <w:next w:val="11"/>
    <w:autoRedefine/>
    <w:qFormat/>
    <w:uiPriority w:val="0"/>
    <w:rPr>
      <w:rFonts w:ascii="宋体" w:cs="宋体"/>
      <w:szCs w:val="21"/>
    </w:rPr>
  </w:style>
  <w:style w:type="paragraph" w:customStyle="1" w:styleId="53">
    <w:name w:val="Char Char Char"/>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54">
    <w:name w:val="txt_contect"/>
    <w:basedOn w:val="1"/>
    <w:autoRedefine/>
    <w:qFormat/>
    <w:uiPriority w:val="0"/>
    <w:pPr>
      <w:widowControl/>
      <w:spacing w:before="100" w:beforeAutospacing="1" w:after="100" w:afterAutospacing="1"/>
      <w:jc w:val="left"/>
    </w:pPr>
    <w:rPr>
      <w:rFonts w:ascii="宋体" w:cs="宋体"/>
      <w:kern w:val="0"/>
      <w:sz w:val="24"/>
    </w:rPr>
  </w:style>
  <w:style w:type="paragraph" w:customStyle="1" w:styleId="55">
    <w:name w:val="Char Char Char1"/>
    <w:basedOn w:val="1"/>
    <w:autoRedefine/>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56">
    <w:name w:val="font01"/>
    <w:basedOn w:val="23"/>
    <w:autoRedefine/>
    <w:qFormat/>
    <w:uiPriority w:val="0"/>
    <w:rPr>
      <w:rFonts w:hint="default" w:ascii="Times New Roman" w:hAnsi="Times New Roman" w:cs="Times New Roman"/>
      <w:color w:val="000000"/>
      <w:sz w:val="21"/>
      <w:szCs w:val="21"/>
      <w:u w:val="none"/>
    </w:rPr>
  </w:style>
  <w:style w:type="character" w:customStyle="1" w:styleId="57">
    <w:name w:val="font41"/>
    <w:basedOn w:val="23"/>
    <w:autoRedefine/>
    <w:qFormat/>
    <w:uiPriority w:val="0"/>
    <w:rPr>
      <w:rFonts w:hint="default" w:ascii="仿宋_GB2312" w:eastAsia="仿宋_GB2312" w:cs="仿宋_GB2312"/>
      <w:color w:val="000000"/>
      <w:sz w:val="21"/>
      <w:szCs w:val="21"/>
      <w:u w:val="none"/>
    </w:rPr>
  </w:style>
  <w:style w:type="character" w:customStyle="1" w:styleId="58">
    <w:name w:val="font71"/>
    <w:basedOn w:val="23"/>
    <w:autoRedefine/>
    <w:qFormat/>
    <w:uiPriority w:val="0"/>
    <w:rPr>
      <w:rFonts w:hint="default" w:ascii="serif" w:eastAsia="serif" w:cs="serif"/>
      <w:color w:val="000000"/>
      <w:sz w:val="21"/>
      <w:szCs w:val="21"/>
      <w:u w:val="none"/>
    </w:rPr>
  </w:style>
  <w:style w:type="character" w:customStyle="1" w:styleId="59">
    <w:name w:val="font61"/>
    <w:basedOn w:val="23"/>
    <w:autoRedefine/>
    <w:qFormat/>
    <w:uiPriority w:val="0"/>
    <w:rPr>
      <w:rFonts w:hint="default" w:ascii="Times New Roman" w:hAnsi="Times New Roman" w:cs="Times New Roman"/>
      <w:color w:val="000000"/>
      <w:sz w:val="21"/>
      <w:szCs w:val="21"/>
      <w:u w:val="none"/>
    </w:rPr>
  </w:style>
  <w:style w:type="character" w:customStyle="1" w:styleId="60">
    <w:name w:val="font81"/>
    <w:basedOn w:val="23"/>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5957</Words>
  <Characters>33961</Characters>
  <Lines>283</Lines>
  <Paragraphs>79</Paragraphs>
  <TotalTime>4</TotalTime>
  <ScaleCrop>false</ScaleCrop>
  <LinksUpToDate>false</LinksUpToDate>
  <CharactersWithSpaces>39839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2024-01-22T10:32:00Z</dcterms:created>
  <dc:creator>Administrator</dc:creator>
  <cp:lastModifiedBy>红豆</cp:lastModifiedBy>
  <cp:lastPrinted>2021-12-17T08:36:00Z</cp:lastPrinted>
  <dcterms:modified xsi:type="dcterms:W3CDTF">2024-01-25T08:58:02Z</dcterms:modified>
  <dc:title>土 地 估 价 报 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28C00FF2E1784A1BAC8132258787E8AF</vt:lpwstr>
  </property>
</Properties>
</file>